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xml" ContentType="application/vnd.openxmlformats-officedocument.wordprocessingml.comment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commentsExtensible.xml" ContentType="application/vnd.openxmlformats-officedocument.wordprocessingml.commentsExtensible+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263"/>
        <w:tblW w:w="0" w:type="auto"/>
        <w:tblBorders/>
        <w:tblLook w:val="04A0" w:firstRow="1" w:lastRow="0" w:firstColumn="1" w:lastColumn="0" w:noHBand="0" w:noVBand="1"/>
      </w:tblPr>
      <w:tblGrid>
        <w:gridCol w:w="1360"/>
        <w:gridCol w:w="8108"/>
      </w:tblGrid>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8"/>
              </w:rPr>
            </w:pPr>
            <w:r>
              <w:rPr>
                <w:rFonts w:cs="Arial" w:asciiTheme="minorHAnsi" w:hAnsiTheme="minorHAnsi"/>
                <w:b/>
                <w:sz w:val="28"/>
              </w:rPr>
            </w:r>
            <w:r>
              <w:rPr>
                <w:rFonts w:cs="Arial" w:asciiTheme="minorHAnsi" w:hAnsiTheme="minorHAnsi"/>
                <w:b/>
                <w:sz w:val="28"/>
              </w:rPr>
            </w:r>
          </w:p>
        </w:tc>
        <w:tc>
          <w:tcPr>
            <w:tcBorders>
              <w:top w:val="none" w:color="000000" w:sz="4" w:space="0"/>
              <w:bottom w:val="single" w:color="auto" w:sz="4" w:space="0"/>
              <w:right w:val="none" w:color="000000" w:sz="4" w:space="0"/>
            </w:tcBorders>
            <w:tcW w:w="8224" w:type="dxa"/>
            <w:textDirection w:val="lrTb"/>
            <w:noWrap w:val="false"/>
          </w:tcPr>
          <w:p>
            <w:pPr>
              <w:pBdr/>
              <w:spacing/>
              <w:ind/>
              <w:rPr>
                <w:rFonts w:asciiTheme="minorHAnsi" w:hAnsiTheme="minorHAnsi"/>
                <w:b/>
                <w:sz w:val="28"/>
              </w:rPr>
            </w:pPr>
            <w:r/>
            <w:bookmarkStart w:id="0" w:name="_Toc392669625"/>
            <w:r>
              <w:rPr>
                <w:rFonts w:asciiTheme="minorHAnsi" w:hAnsiTheme="minorHAnsi"/>
                <w:b/>
                <w:bCs/>
                <w:sz w:val="36"/>
                <w:lang w:val="en"/>
              </w:rPr>
              <w:t xml:space="preserve">PROCUREMENT CONTRACT</w:t>
            </w:r>
            <w:bookmarkEnd w:id="0"/>
            <w:r/>
            <w:r>
              <w:rPr>
                <w:rFonts w:asciiTheme="minorHAnsi" w:hAnsiTheme="minorHAnsi"/>
                <w:b/>
                <w:sz w:val="28"/>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sdt>
              <w:sdtPr>
                <w15:appearance w15:val="boundingBox"/>
                <w:id w:val="-50693993"/>
                <w14:checkbox>
                  <w14:checked w14:val="1"/>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Segoe UI Symbol"/>
                    <w:b/>
                    <w:smallCaps/>
                    <w:sz w:val="24"/>
                  </w:rPr>
                  <w:t xml:space="preserve">☒</w:t>
                </w:r>
              </w:sdtContent>
            </w:sdt>
            <w:r>
              <w:rPr>
                <w:rFonts w:eastAsia="MS Gothic" w:cs="Segoe UI Symbol" w:asciiTheme="minorHAnsi" w:hAnsiTheme="minorHAnsi"/>
                <w:b/>
                <w:bCs/>
                <w:smallCaps/>
                <w:sz w:val="24"/>
                <w:lang w:val="en"/>
              </w:rPr>
              <w:t xml:space="preserve">Service – </w:t>
            </w:r>
            <w:sdt>
              <w:sdtPr>
                <w15:appearance w15:val="boundingBox"/>
                <w:id w:val="519277967"/>
                <w14:checkbox>
                  <w14:checked w14:val="0"/>
                  <w14:checkedState w14:val="2612" w14:font="MS Gothic"/>
                  <w14:uncheckedState w14:val="2610" w14:font="MS Gothic"/>
                </w14:checkbox>
                <w:rPr>
                  <w:rFonts w:eastAsia="MS Gothic" w:cs="Segoe UI Symbol" w:asciiTheme="minorHAnsi" w:hAnsiTheme="minorHAnsi"/>
                  <w:b/>
                  <w:smallCaps/>
                  <w:sz w:val="24"/>
                </w:rPr>
              </w:sdtPr>
              <w:sdtContent>
                <w:r>
                  <w:rPr>
                    <w:rFonts w:hint="eastAsia" w:ascii="MS Gothic" w:hAnsi="MS Gothic" w:eastAsia="MS Gothic" w:cs="Segoe UI Symbol"/>
                    <w:b/>
                    <w:smallCaps/>
                    <w:sz w:val="24"/>
                  </w:rPr>
                  <w:t xml:space="preserve">☐</w:t>
                </w:r>
              </w:sdtContent>
            </w:sdt>
            <w:r>
              <w:rPr>
                <w:rFonts w:eastAsia="MS Gothic" w:cs="Segoe UI Symbol" w:asciiTheme="minorHAnsi" w:hAnsiTheme="minorHAnsi"/>
                <w:b/>
                <w:bCs/>
                <w:smallCaps/>
                <w:sz w:val="24"/>
                <w:lang w:val="en"/>
              </w:rPr>
              <w:t xml:space="preserve">Supplies</w:t>
            </w:r>
            <w:r>
              <w:rPr>
                <w:rFonts w:asciiTheme="minorHAnsi" w:hAnsiTheme="minorHAnsi"/>
                <w:b/>
                <w:sz w:val="24"/>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rPr>
                <w:rFonts w:asciiTheme="minorHAnsi" w:hAnsiTheme="minorHAnsi"/>
                <w:b/>
                <w:bCs/>
                <w:smallCaps/>
                <w:sz w:val="24"/>
                <w:lang w:val="en"/>
              </w:rPr>
              <w:t xml:space="preserve">Number: </w:t>
            </w:r>
            <w:r>
              <w:rPr>
                <w:rFonts w:asciiTheme="minorHAnsi" w:hAnsiTheme="minorHAnsi"/>
                <w:b/>
                <w:sz w:val="24"/>
              </w:rPr>
            </w:r>
          </w:p>
        </w:tc>
      </w:tr>
      <w:tr>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1" w:name="_Toc392669627"/>
            <w:r>
              <w:rPr>
                <w:rFonts w:asciiTheme="minorHAnsi" w:hAnsiTheme="minorHAnsi"/>
                <w:b/>
                <w:bCs/>
                <w:caps/>
                <w:sz w:val="24"/>
                <w:lang w:val="en"/>
              </w:rPr>
              <w:t xml:space="preserve">Object of the contract</w:t>
            </w:r>
            <w:r>
              <w:rPr>
                <w:rFonts w:asciiTheme="minorHAnsi" w:hAnsiTheme="minorHAnsi"/>
                <w:b/>
                <w:bCs/>
                <w:smallCaps/>
                <w:sz w:val="24"/>
                <w:lang w:val="en"/>
              </w:rPr>
              <w:t xml:space="preserve">:</w:t>
            </w:r>
            <w:bookmarkEnd w:id="1"/>
            <w:r/>
            <w:r>
              <w:rPr>
                <w:rFonts w:asciiTheme="minorHAnsi" w:hAnsiTheme="minorHAnsi"/>
                <w:b/>
                <w:caps/>
                <w:smallCaps/>
                <w:sz w:val="24"/>
                <w:lang w:val="en-GB"/>
              </w:rPr>
            </w:r>
          </w:p>
          <w:p>
            <w:pPr>
              <w:pBdr/>
              <w:spacing/>
              <w:ind/>
              <w:rPr>
                <w:rFonts w:cs="Arial" w:asciiTheme="minorHAnsi" w:hAnsiTheme="minorHAnsi"/>
                <w:bCs/>
                <w:sz w:val="24"/>
                <w:szCs w:val="24"/>
                <w:highlight w:val="white"/>
                <w:lang w:val="en"/>
              </w:rPr>
            </w:pPr>
            <w:r>
              <w:rPr>
                <w:rFonts w:cs="Arial" w:asciiTheme="minorHAnsi" w:hAnsiTheme="minorHAnsi"/>
                <w:iCs/>
                <w:sz w:val="24"/>
                <w:szCs w:val="24"/>
                <w:highlight w:val="white"/>
                <w:lang w:val="en"/>
              </w:rPr>
              <w:t xml:space="preserve">Contributing to the reduction of climate disaster risks, in coordination with the different actors involved in climate risk management – Pilot project in Cruzeiro do sul Municipality, Grande do Sul</w:t>
            </w:r>
            <w:r>
              <w:rPr>
                <w:rFonts w:cs="Arial" w:asciiTheme="minorHAnsi" w:hAnsiTheme="minorHAnsi"/>
                <w:bCs/>
                <w:sz w:val="24"/>
                <w:szCs w:val="24"/>
                <w:highlight w:val="white"/>
                <w:lang w:val="en"/>
              </w:rPr>
            </w:r>
          </w:p>
        </w:tc>
      </w:tr>
      <w:tr>
        <w:trPr>
          <w:trHeight w:val="3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lang w:val="en-GB"/>
              </w:rPr>
            </w:pPr>
            <w:r>
              <w:rPr>
                <w:rFonts w:cs="Arial" w:asciiTheme="minorHAnsi" w:hAnsiTheme="minorHAnsi"/>
                <w:b/>
                <w:sz w:val="24"/>
                <w:lang w:val="en-GB"/>
              </w:rPr>
            </w:r>
            <w:r>
              <w:rPr>
                <w:rFonts w:cs="Arial" w:asciiTheme="minorHAnsi" w:hAnsiTheme="minorHAnsi"/>
                <w:b/>
                <w:sz w:val="24"/>
                <w:lang w:val="en-GB"/>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lang w:val="en-GB"/>
              </w:rPr>
            </w:pPr>
            <w:r/>
            <w:bookmarkStart w:id="2" w:name="_Toc392669628"/>
            <w:r>
              <w:rPr>
                <w:rFonts w:asciiTheme="minorHAnsi" w:hAnsiTheme="minorHAnsi"/>
                <w:b/>
                <w:bCs/>
                <w:smallCaps/>
                <w:sz w:val="24"/>
                <w:lang w:val="en"/>
              </w:rPr>
              <w:t xml:space="preserve">MAXIMUM AMOUNT OF THE CONTRACT:</w:t>
            </w:r>
            <w:bookmarkEnd w:id="2"/>
            <w:r/>
            <w:r>
              <w:rPr>
                <w:rFonts w:asciiTheme="minorHAnsi" w:hAnsiTheme="minorHAnsi"/>
                <w:b/>
                <w:caps/>
                <w:smallCaps/>
                <w:sz w:val="24"/>
                <w:lang w:val="en-GB"/>
              </w:rPr>
            </w:r>
          </w:p>
          <w:p>
            <w:pPr>
              <w:pBdr/>
              <w:spacing/>
              <w:ind/>
              <w:rPr>
                <w:rFonts w:cs="Arial" w:asciiTheme="minorHAnsi" w:hAnsiTheme="minorHAnsi"/>
                <w:sz w:val="24"/>
                <w:lang w:val="en-GB"/>
              </w:rPr>
            </w:pPr>
            <w:r/>
            <w:commentRangeStart w:id="0"/>
            <w:r>
              <w:rPr>
                <w:rFonts w:cs="Arial" w:asciiTheme="minorHAnsi" w:hAnsiTheme="minorHAnsi"/>
                <w:i/>
                <w:iCs/>
                <w:sz w:val="24"/>
                <w:lang w:val="en"/>
              </w:rPr>
              <w:t xml:space="preserve">XXX</w:t>
            </w:r>
            <w:commentRangeEnd w:id="0"/>
            <w:r>
              <w:commentReference w:id="0"/>
            </w:r>
            <w:r>
              <w:rPr>
                <w:rFonts w:cs="Arial" w:asciiTheme="minorHAnsi" w:hAnsiTheme="minorHAnsi"/>
                <w:i/>
                <w:iCs/>
                <w:sz w:val="24"/>
                <w:lang w:val="en"/>
              </w:rPr>
              <w:t xml:space="preserve"> </w:t>
            </w:r>
            <w:r>
              <w:rPr>
                <w:rFonts w:cs="Arial" w:asciiTheme="minorHAnsi" w:hAnsiTheme="minorHAnsi"/>
                <w:i/>
                <w:iCs/>
                <w:sz w:val="24"/>
                <w:highlight w:val="white"/>
                <w:lang w:val="en"/>
              </w:rPr>
              <w:t xml:space="preserve">EUR EXC. VAT</w:t>
            </w:r>
            <w:r>
              <w:rPr>
                <w:rFonts w:cs="Arial" w:asciiTheme="minorHAnsi" w:hAnsiTheme="minorHAnsi"/>
                <w:sz w:val="24"/>
                <w:lang w:val="en-GB"/>
              </w:rPr>
            </w:r>
          </w:p>
        </w:tc>
      </w:tr>
      <w:tr>
        <w:trPr>
          <w:trHeight w:val="70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smallCaps/>
                      <w:sz w:val="22"/>
                      <w:szCs w:val="22"/>
                      <w:lang w:val="en-GB"/>
                    </w:rPr>
                  </w:pPr>
                  <w:r>
                    <w:rPr>
                      <w:rFonts w:asciiTheme="minorHAnsi" w:hAnsiTheme="minorHAnsi"/>
                      <w:b/>
                      <w:bCs/>
                      <w:smallCaps/>
                      <w:sz w:val="22"/>
                      <w:szCs w:val="22"/>
                      <w:lang w:val="en"/>
                    </w:rPr>
                    <w:t xml:space="preserve">Award date:</w:t>
                  </w:r>
                  <w:r>
                    <w:rPr>
                      <w:rFonts w:asciiTheme="minorHAnsi" w:hAnsiTheme="minorHAnsi"/>
                      <w:smallCaps/>
                      <w:sz w:val="22"/>
                      <w:szCs w:val="22"/>
                      <w:lang w:val="en"/>
                    </w:rPr>
                    <w:tab/>
                  </w:r>
                  <w:r>
                    <w:rPr>
                      <w:rFonts w:asciiTheme="minorHAnsi" w:hAnsiTheme="minorHAnsi"/>
                      <w:smallCaps/>
                      <w:sz w:val="22"/>
                      <w:szCs w:val="22"/>
                      <w:lang w:val="en"/>
                    </w:rPr>
                    <w:tab/>
                  </w:r>
                  <w:r>
                    <w:rPr>
                      <w:rFonts w:asciiTheme="minorHAnsi" w:hAnsiTheme="minorHAnsi"/>
                      <w:b/>
                      <w:smallCaps/>
                      <w:sz w:val="22"/>
                      <w:szCs w:val="22"/>
                      <w:lang w:val="en-GB"/>
                    </w:rPr>
                  </w:r>
                </w:p>
              </w:tc>
            </w:tr>
          </w:tbl>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spacing/>
              <w:ind/>
              <w:rPr>
                <w:rFonts w:cs="Arial" w:asciiTheme="minorHAnsi" w:hAnsiTheme="minorHAnsi"/>
                <w:sz w:val="22"/>
                <w:szCs w:val="22"/>
                <w:lang w:val="en-GB"/>
              </w:rPr>
            </w:pPr>
            <w:r>
              <w:rPr>
                <w:rFonts w:cs="Arial" w:asciiTheme="minorHAnsi" w:hAnsiTheme="minorHAnsi"/>
                <w:sz w:val="22"/>
                <w:szCs w:val="22"/>
                <w:lang w:val="en-GB"/>
              </w:rPr>
            </w:r>
            <w:r>
              <w:rPr>
                <w:rFonts w:cs="Arial" w:asciiTheme="minorHAnsi" w:hAnsiTheme="minorHAnsi"/>
                <w:sz w:val="22"/>
                <w:szCs w:val="22"/>
                <w:lang w:val="en-GB"/>
              </w:rPr>
            </w:r>
          </w:p>
          <w:p>
            <w:pPr>
              <w:pBdr>
                <w:top w:val="single" w:color="000000" w:sz="4" w:space="1"/>
              </w:pBdr>
              <w:tabs>
                <w:tab w:val="right" w:leader="none" w:pos="9356"/>
              </w:tabs>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pPr>
              <w:pBdr/>
              <w:tabs>
                <w:tab w:val="right" w:leader="none" w:pos="9356"/>
              </w:tabs>
              <w:spacing/>
              <w:ind/>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8" w:tooltip="http://www.marche-public.fr/ccp/ccp-plan-legislative.htm" w:history="1">
              <w:r>
                <w:rPr>
                  <w:rStyle w:val="1239"/>
                  <w:lang w:val="en"/>
                </w:rPr>
                <w:t xml:space="preserve">Order No. 2018-1074 issued on 26 November 2018</w:t>
              </w:r>
            </w:hyperlink>
            <w:r>
              <w:rPr>
                <w:rFonts w:asciiTheme="minorHAnsi" w:hAnsiTheme="minorHAnsi"/>
                <w:sz w:val="22"/>
                <w:szCs w:val="22"/>
                <w:lang w:val="en"/>
              </w:rPr>
              <w:t xml:space="preserve"> and its Implementation </w:t>
            </w:r>
            <w:hyperlink r:id="rId19" w:tooltip="http://www.marche-public.fr/ccp/ccp-plan-reglementaire.htm" w:history="1">
              <w:r>
                <w:rPr>
                  <w:rStyle w:val="1239"/>
                  <w:lang w:val="en"/>
                </w:rPr>
                <w:t xml:space="preserve">Decree No. 2018-1075 issued on 3 December 2018</w:t>
              </w:r>
            </w:hyperlink>
            <w:r>
              <w:rPr>
                <w:rFonts w:asciiTheme="minorHAnsi" w:hAnsiTheme="minorHAnsi"/>
                <w:sz w:val="22"/>
                <w:szCs w:val="22"/>
                <w:lang w:val="en"/>
              </w:rPr>
              <w:t xml:space="preserve"> constituting the regulatory aspects of the Public Procurement Code (“CCP”).</w:t>
            </w:r>
            <w:r>
              <w:rPr>
                <w:lang w:val="en-GB"/>
              </w:rPr>
            </w:r>
          </w:p>
          <w:p>
            <w:pPr>
              <w:pBdr/>
              <w:tabs>
                <w:tab w:val="left" w:leader="none" w:pos="510"/>
                <w:tab w:val="left" w:leader="none" w:pos="10977"/>
              </w:tabs>
              <w:spacing w:before="120"/>
              <w:ind w:right="83"/>
              <w:jc w:val="both"/>
              <w:rPr>
                <w:rFonts w:asciiTheme="minorHAnsi" w:hAnsiTheme="minorHAnsi"/>
                <w:sz w:val="22"/>
                <w:szCs w:val="22"/>
                <w:highlight w:val="green"/>
                <w:lang w:val="en-GB"/>
              </w:rPr>
            </w:pPr>
            <w:r>
              <w:rPr>
                <w:rFonts w:asciiTheme="minorHAnsi" w:hAnsiTheme="minorHAnsi"/>
                <w:sz w:val="22"/>
                <w:szCs w:val="22"/>
                <w:lang w:val="en"/>
              </w:rPr>
              <w:t xml:space="preserve">It is awarded by means of: </w:t>
            </w:r>
            <w:r>
              <w:rPr>
                <w:rFonts w:asciiTheme="minorHAnsi" w:hAnsiTheme="minorHAnsi"/>
                <w:sz w:val="22"/>
                <w:szCs w:val="22"/>
                <w:lang w:val="en"/>
              </w:rPr>
              <w:t xml:space="preserve">adapted procedure in application of Articles L. 2123-1 and R. 2123-1 to R. 2123-7 of CCP</w:t>
            </w:r>
            <w:r>
              <w:rPr>
                <w:rFonts w:asciiTheme="minorHAnsi" w:hAnsiTheme="minorHAnsi"/>
                <w:sz w:val="22"/>
                <w:szCs w:val="22"/>
                <w:lang w:val="en"/>
              </w:rPr>
            </w:r>
            <w:r>
              <w:rPr>
                <w:rFonts w:asciiTheme="minorHAnsi" w:hAnsiTheme="minorHAnsi"/>
                <w:sz w:val="22"/>
                <w:szCs w:val="22"/>
                <w:highlight w:val="green"/>
                <w:lang w:val="en-GB"/>
              </w:rPr>
            </w:r>
          </w:p>
        </w:tc>
      </w:tr>
    </w:tbl>
    <w:p>
      <w:pPr>
        <w:pBdr/>
        <w:spacing/>
        <w:ind/>
        <w:rPr>
          <w:rFonts w:cs="Arial" w:asciiTheme="minorHAnsi" w:hAnsiTheme="minorHAnsi"/>
          <w:sz w:val="18"/>
          <w:lang w:val="en-GB"/>
        </w:rPr>
        <w:sectPr>
          <w:headerReference w:type="default" r:id="rId9"/>
          <w:headerReference w:type="first" r:id="rId10"/>
          <w:footerReference w:type="default" r:id="rId14"/>
          <w:footerReference w:type="first" r:id="rId15"/>
          <w:footnotePr/>
          <w:endnotePr/>
          <w:type w:val="continuous"/>
          <w:pgSz w:h="16838" w:orient="portrait" w:w="11906"/>
          <w:pgMar w:top="272" w:right="680" w:bottom="851" w:left="1758" w:header="709" w:footer="709" w:gutter="0"/>
          <w:cols w:num="1" w:sep="0" w:space="709" w:equalWidth="1"/>
          <w:titlePg/>
        </w:sectPr>
      </w:pPr>
      <w:r>
        <w:rPr>
          <w:rFonts w:cs="Arial" w:asciiTheme="minorHAnsi" w:hAnsiTheme="minorHAnsi"/>
          <w:sz w:val="18"/>
          <w:lang w:val="en-GB"/>
        </w:rPr>
      </w:r>
      <w:r>
        <w:rPr>
          <w:rFonts w:cs="Arial" w:asciiTheme="minorHAnsi" w:hAnsiTheme="minorHAnsi"/>
          <w:sz w:val="18"/>
          <w:lang w:val="en-GB"/>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264"/>
            <w:pBdr/>
            <w:spacing/>
            <w:ind/>
            <w:rPr>
              <w:rFonts w:asciiTheme="minorHAnsi" w:hAnsiTheme="minorHAnsi"/>
              <w:color w:val="auto"/>
              <w:sz w:val="32"/>
            </w:rPr>
          </w:pPr>
          <w:r>
            <w:rPr>
              <w:rFonts w:asciiTheme="minorHAnsi" w:hAnsiTheme="minorHAnsi"/>
              <w:color w:val="auto"/>
              <w:sz w:val="32"/>
              <w:u w:val="single"/>
              <w:lang w:val="en"/>
            </w:rPr>
            <w:t xml:space="preserve">TABLE OF CONTENTS</w:t>
          </w:r>
          <w:r>
            <w:rPr>
              <w:rFonts w:asciiTheme="minorHAnsi" w:hAnsiTheme="minorHAnsi"/>
              <w:color w:val="auto"/>
              <w:sz w:val="32"/>
            </w:rPr>
          </w:r>
        </w:p>
        <w:p>
          <w:pPr>
            <w:pStyle w:val="1265"/>
            <w:pBdr/>
            <w:tabs>
              <w:tab w:val="right" w:leader="dot" w:pos="9736"/>
            </w:tabs>
            <w:spacing/>
            <w:ind/>
            <w:rPr>
              <w:rFonts w:asciiTheme="minorHAnsi" w:hAnsiTheme="minorHAnsi" w:eastAsiaTheme="minorEastAsia" w:cstheme="minorBidi"/>
              <w:sz w:val="24"/>
              <w:szCs w:val="24"/>
              <w:lang w:val="es-CO" w:eastAsia="es-CO"/>
              <w14:ligatures w14:val="standardContextual"/>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16881445" w:anchor="_Toc216881445" w:history="1">
            <w:r>
              <w:rPr>
                <w:rStyle w:val="1239"/>
                <w:b/>
                <w:bCs/>
                <w:caps/>
                <w:lang w:val="en"/>
              </w:rPr>
              <w:t xml:space="preserve">special conditions – commitment procedure</w:t>
            </w:r>
            <w:r>
              <w:tab/>
            </w:r>
            <w:r>
              <w:fldChar w:fldCharType="begin"/>
            </w:r>
            <w:r>
              <w:instrText xml:space="preserve"> PAGEREF _Toc216881445 \h </w:instrText>
            </w:r>
            <w:r>
              <w:fldChar w:fldCharType="separate"/>
            </w:r>
            <w:r>
              <w:t xml:space="preserve">4</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46" w:anchor="_Toc216881446" w:history="1">
            <w:r>
              <w:rPr>
                <w:rStyle w:val="1239"/>
                <w:b/>
                <w:caps/>
              </w:rPr>
              <w:t xml:space="preserve">ARTICLE 1:</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Object of the contract</w:t>
            </w:r>
            <w:r>
              <w:tab/>
            </w:r>
            <w:r>
              <w:fldChar w:fldCharType="begin"/>
            </w:r>
            <w:r>
              <w:instrText xml:space="preserve"> PAGEREF _Toc216881446 \h </w:instrText>
            </w:r>
            <w:r>
              <w:fldChar w:fldCharType="separate"/>
            </w:r>
            <w:r>
              <w:t xml:space="preserve">5</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47" w:anchor="_Toc216881447" w:history="1">
            <w:r>
              <w:rPr>
                <w:rStyle w:val="1239"/>
                <w:b/>
                <w:caps/>
              </w:rPr>
              <w:t xml:space="preserve">ARTICLE 2:</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Contractual documents</w:t>
            </w:r>
            <w:r>
              <w:tab/>
            </w:r>
            <w:r>
              <w:fldChar w:fldCharType="begin"/>
            </w:r>
            <w:r>
              <w:instrText xml:space="preserve"> PAGEREF _Toc216881447 \h </w:instrText>
            </w:r>
            <w:r>
              <w:fldChar w:fldCharType="separate"/>
            </w:r>
            <w:r>
              <w:t xml:space="preserve">5</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48" w:anchor="_Toc216881448" w:history="1">
            <w:r>
              <w:rPr>
                <w:rStyle w:val="1239"/>
                <w:b/>
                <w:caps/>
              </w:rPr>
              <w:t xml:space="preserve">ARTICLE 3:</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General characteristics of the Contract</w:t>
            </w:r>
            <w:r>
              <w:tab/>
            </w:r>
            <w:r>
              <w:fldChar w:fldCharType="begin"/>
            </w:r>
            <w:r>
              <w:instrText xml:space="preserve"> PAGEREF _Toc216881448 \h </w:instrText>
            </w:r>
            <w:r>
              <w:fldChar w:fldCharType="separate"/>
            </w:r>
            <w:r>
              <w:t xml:space="preserve">6</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49" w:anchor="_Toc216881449" w:history="1">
            <w:r>
              <w:rPr>
                <w:rStyle w:val="1239"/>
                <w:rFonts w:cstheme="minorHAnsi"/>
                <w:lang w:val="en"/>
              </w:rPr>
              <w:t xml:space="preserve">Form of the Contract</w:t>
            </w:r>
            <w:r>
              <w:tab/>
            </w:r>
            <w:r>
              <w:fldChar w:fldCharType="begin"/>
            </w:r>
            <w:r>
              <w:instrText xml:space="preserve"> PAGEREF _Toc216881449 \h </w:instrText>
            </w:r>
            <w:r>
              <w:fldChar w:fldCharType="separate"/>
            </w:r>
            <w:r>
              <w:t xml:space="preserve">6</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50" w:anchor="_Toc216881450" w:history="1">
            <w:r>
              <w:rPr>
                <w:rStyle w:val="1239"/>
                <w:rFonts w:cstheme="minorHAnsi"/>
                <w:lang w:val="en"/>
              </w:rPr>
              <w:t xml:space="preserve">Term of the Contract</w:t>
            </w:r>
            <w:r>
              <w:tab/>
            </w:r>
            <w:r>
              <w:fldChar w:fldCharType="begin"/>
            </w:r>
            <w:r>
              <w:instrText xml:space="preserve"> PAGEREF _Toc216881450 \h </w:instrText>
            </w:r>
            <w:r>
              <w:fldChar w:fldCharType="separate"/>
            </w:r>
            <w:r>
              <w:t xml:space="preserve">6</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51" w:anchor="_Toc216881451" w:history="1">
            <w:r>
              <w:rPr>
                <w:rStyle w:val="1239"/>
                <w:rFonts w:cstheme="minorHAnsi"/>
                <w:lang w:val="en"/>
              </w:rPr>
              <w:t xml:space="preserve">Commencement and deadline of service provision</w:t>
            </w:r>
            <w:r>
              <w:tab/>
            </w:r>
            <w:r>
              <w:fldChar w:fldCharType="begin"/>
            </w:r>
            <w:r>
              <w:instrText xml:space="preserve"> PAGEREF _Toc216881451 \h </w:instrText>
            </w:r>
            <w:r>
              <w:fldChar w:fldCharType="separate"/>
            </w:r>
            <w:r>
              <w:t xml:space="preserve">6</w:t>
            </w:r>
            <w:r>
              <w:fldChar w:fldCharType="end"/>
            </w:r>
          </w:hyperlink>
          <w:r/>
          <w:r>
            <w:rPr>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52" w:anchor="_Toc216881452" w:history="1">
            <w:r>
              <w:rPr>
                <w:rStyle w:val="1239"/>
                <w:b/>
                <w:caps/>
              </w:rPr>
              <w:t xml:space="preserve">ARTICLE 4:</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Financial provisions</w:t>
            </w:r>
            <w:r>
              <w:tab/>
            </w:r>
            <w:r>
              <w:fldChar w:fldCharType="begin"/>
            </w:r>
            <w:r>
              <w:instrText xml:space="preserve"> PAGEREF _Toc216881452 \h </w:instrText>
            </w:r>
            <w:r>
              <w:fldChar w:fldCharType="separate"/>
            </w:r>
            <w:r>
              <w:t xml:space="preserve">6</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53" w:anchor="_Toc216881453" w:history="1">
            <w:r>
              <w:rPr>
                <w:rStyle w:val="1239"/>
                <w:rFonts w:cstheme="minorHAnsi"/>
                <w:lang w:val="en"/>
              </w:rPr>
              <w:t xml:space="preserve">Amount of the Contract</w:t>
            </w:r>
            <w:r>
              <w:tab/>
            </w:r>
            <w:r>
              <w:fldChar w:fldCharType="begin"/>
            </w:r>
            <w:r>
              <w:instrText xml:space="preserve"> PAGEREF _Toc216881453 \h </w:instrText>
            </w:r>
            <w:r>
              <w:fldChar w:fldCharType="separate"/>
            </w:r>
            <w:r>
              <w:t xml:space="preserve">6</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54" w:anchor="_Toc216881454" w:history="1">
            <w:r>
              <w:rPr>
                <w:rStyle w:val="1239"/>
                <w:rFonts w:cstheme="minorHAnsi"/>
                <w:lang w:val="en"/>
              </w:rPr>
              <w:t xml:space="preserve">Form of prices</w:t>
            </w:r>
            <w:r>
              <w:tab/>
            </w:r>
            <w:r>
              <w:fldChar w:fldCharType="begin"/>
            </w:r>
            <w:r>
              <w:instrText xml:space="preserve"> PAGEREF _Toc216881454 \h </w:instrText>
            </w:r>
            <w:r>
              <w:fldChar w:fldCharType="separate"/>
            </w:r>
            <w:r>
              <w:t xml:space="preserve">7</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55" w:anchor="_Toc216881455" w:history="1">
            <w:r>
              <w:rPr>
                <w:rStyle w:val="1239"/>
                <w:rFonts w:cstheme="minorHAnsi"/>
                <w:lang w:val="en"/>
              </w:rPr>
              <w:t xml:space="preserve">Advance</w:t>
            </w:r>
            <w:r>
              <w:tab/>
            </w:r>
            <w:r>
              <w:fldChar w:fldCharType="begin"/>
            </w:r>
            <w:r>
              <w:instrText xml:space="preserve"> PAGEREF _Toc216881455 \h </w:instrText>
            </w:r>
            <w:r>
              <w:fldChar w:fldCharType="separate"/>
            </w:r>
            <w:r>
              <w:t xml:space="preserve">7</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56" w:anchor="_Toc216881456" w:history="1">
            <w:r>
              <w:rPr>
                <w:rStyle w:val="1239"/>
                <w:rFonts w:cstheme="minorHAnsi"/>
                <w:lang w:val="en"/>
              </w:rPr>
              <w:t xml:space="preserve">Payment procedure</w:t>
            </w:r>
            <w:r>
              <w:tab/>
            </w:r>
            <w:r>
              <w:fldChar w:fldCharType="begin"/>
            </w:r>
            <w:r>
              <w:instrText xml:space="preserve"> PAGEREF _Toc216881456 \h </w:instrText>
            </w:r>
            <w:r>
              <w:fldChar w:fldCharType="separate"/>
            </w:r>
            <w:r>
              <w:t xml:space="preserve">7</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57" w:anchor="_Toc216881457" w:history="1">
            <w:r>
              <w:rPr>
                <w:rStyle w:val="1239"/>
                <w:lang w:val="en"/>
              </w:rPr>
              <w:t xml:space="preserve">Payment terms and late payment interest</w:t>
            </w:r>
            <w:r>
              <w:tab/>
            </w:r>
            <w:r>
              <w:fldChar w:fldCharType="begin"/>
            </w:r>
            <w:r>
              <w:instrText xml:space="preserve"> PAGEREF _Toc216881457 \h </w:instrText>
            </w:r>
            <w:r>
              <w:fldChar w:fldCharType="separate"/>
            </w:r>
            <w:r>
              <w:t xml:space="preserve">7</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58" w:anchor="_Toc216881458" w:history="1">
            <w:r>
              <w:rPr>
                <w:rStyle w:val="1239"/>
                <w:lang w:val="en"/>
              </w:rPr>
              <w:t xml:space="preserve">Presentation of payment demands</w:t>
            </w:r>
            <w:r>
              <w:tab/>
            </w:r>
            <w:r>
              <w:fldChar w:fldCharType="begin"/>
            </w:r>
            <w:r>
              <w:instrText xml:space="preserve"> PAGEREF _Toc216881458 \h </w:instrText>
            </w:r>
            <w:r>
              <w:fldChar w:fldCharType="separate"/>
            </w:r>
            <w:r>
              <w:t xml:space="preserve">8</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59" w:anchor="_Toc216881459" w:history="1">
            <w:r>
              <w:rPr>
                <w:rStyle w:val="1239"/>
                <w:lang w:val="en"/>
              </w:rPr>
              <w:t xml:space="preserve">Bank transfer</w:t>
            </w:r>
            <w:r>
              <w:tab/>
            </w:r>
            <w:r>
              <w:fldChar w:fldCharType="begin"/>
            </w:r>
            <w:r>
              <w:instrText xml:space="preserve"> PAGEREF _Toc216881459 \h </w:instrText>
            </w:r>
            <w:r>
              <w:fldChar w:fldCharType="separate"/>
            </w:r>
            <w:r>
              <w:t xml:space="preserve">8</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60" w:anchor="_Toc216881460" w:history="1">
            <w:r>
              <w:rPr>
                <w:rStyle w:val="1239"/>
                <w:lang w:val="en"/>
              </w:rPr>
              <w:t xml:space="preserve">Value added tax (VAT)</w:t>
            </w:r>
            <w:r>
              <w:tab/>
            </w:r>
            <w:r>
              <w:fldChar w:fldCharType="begin"/>
            </w:r>
            <w:r>
              <w:instrText xml:space="preserve"> PAGEREF _Toc216881460 \h </w:instrText>
            </w:r>
            <w:r>
              <w:fldChar w:fldCharType="separate"/>
            </w:r>
            <w:r>
              <w:t xml:space="preserve">8</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61" w:anchor="_Toc216881461" w:history="1">
            <w:r>
              <w:rPr>
                <w:rStyle w:val="1239"/>
                <w:lang w:val="en"/>
              </w:rPr>
              <w:t xml:space="preserve">Taxes and duties</w:t>
            </w:r>
            <w:r>
              <w:tab/>
            </w:r>
            <w:r>
              <w:fldChar w:fldCharType="begin"/>
            </w:r>
            <w:r>
              <w:instrText xml:space="preserve"> PAGEREF _Toc216881461 \h </w:instrText>
            </w:r>
            <w:r>
              <w:fldChar w:fldCharType="separate"/>
            </w:r>
            <w:r>
              <w:t xml:space="preserve">8</w:t>
            </w:r>
            <w:r>
              <w:fldChar w:fldCharType="end"/>
            </w:r>
          </w:hyperlink>
          <w:r/>
          <w:r>
            <w:rPr>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62" w:anchor="_Toc216881462" w:history="1">
            <w:r>
              <w:rPr>
                <w:rStyle w:val="1239"/>
                <w:b/>
                <w:caps/>
              </w:rPr>
              <w:t xml:space="preserve">ARTICLE 5:</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inspection and acceptance activities</w:t>
            </w:r>
            <w:r>
              <w:tab/>
            </w:r>
            <w:r>
              <w:fldChar w:fldCharType="begin"/>
            </w:r>
            <w:r>
              <w:instrText xml:space="preserve"> PAGEREF _Toc216881462 \h </w:instrText>
            </w:r>
            <w:r>
              <w:fldChar w:fldCharType="separate"/>
            </w:r>
            <w:r>
              <w:t xml:space="preserve">9</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63" w:anchor="_Toc216881463" w:history="1">
            <w:r>
              <w:rPr>
                <w:rStyle w:val="1239"/>
                <w:lang w:val="en"/>
              </w:rPr>
              <w:t xml:space="preserve">Inspection activities</w:t>
            </w:r>
            <w:r>
              <w:tab/>
            </w:r>
            <w:r>
              <w:fldChar w:fldCharType="begin"/>
            </w:r>
            <w:r>
              <w:instrText xml:space="preserve"> PAGEREF _Toc216881463 \h </w:instrText>
            </w:r>
            <w:r>
              <w:fldChar w:fldCharType="separate"/>
            </w:r>
            <w:r>
              <w:t xml:space="preserve">9</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64" w:anchor="_Toc216881464" w:history="1">
            <w:r>
              <w:rPr>
                <w:rStyle w:val="1239"/>
                <w:lang w:val="en"/>
              </w:rPr>
              <w:t xml:space="preserve">Acceptance of services and supplies</w:t>
            </w:r>
            <w:r>
              <w:tab/>
            </w:r>
            <w:r>
              <w:fldChar w:fldCharType="begin"/>
            </w:r>
            <w:r>
              <w:instrText xml:space="preserve"> PAGEREF _Toc216881464 \h </w:instrText>
            </w:r>
            <w:r>
              <w:fldChar w:fldCharType="separate"/>
            </w:r>
            <w:r>
              <w:t xml:space="preserve">9</w:t>
            </w:r>
            <w:r>
              <w:fldChar w:fldCharType="end"/>
            </w:r>
          </w:hyperlink>
          <w:r/>
          <w:r>
            <w:rPr>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65" w:anchor="_Toc216881465" w:history="1">
            <w:r>
              <w:rPr>
                <w:rStyle w:val="1239"/>
                <w:b/>
                <w:caps/>
              </w:rPr>
              <w:t xml:space="preserve">ARTICLE 6:</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Specific terms of execution</w:t>
            </w:r>
            <w:r>
              <w:tab/>
            </w:r>
            <w:r>
              <w:fldChar w:fldCharType="begin"/>
            </w:r>
            <w:r>
              <w:instrText xml:space="preserve"> PAGEREF _Toc216881465 \h </w:instrText>
            </w:r>
            <w:r>
              <w:fldChar w:fldCharType="separate"/>
            </w:r>
            <w:r>
              <w:t xml:space="preserve">9</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66" w:anchor="_Toc216881466" w:history="1">
            <w:r>
              <w:rPr>
                <w:rStyle w:val="1239"/>
                <w:rFonts w:cstheme="minorHAnsi"/>
                <w:lang w:val="en"/>
              </w:rPr>
              <w:t xml:space="preserve">Deliverables table</w:t>
            </w:r>
            <w:r>
              <w:tab/>
            </w:r>
            <w:r>
              <w:fldChar w:fldCharType="begin"/>
            </w:r>
            <w:r>
              <w:instrText xml:space="preserve"> PAGEREF _Toc216881466 \h </w:instrText>
            </w:r>
            <w:r>
              <w:fldChar w:fldCharType="separate"/>
            </w:r>
            <w:r>
              <w:t xml:space="preserve">9</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67" w:anchor="_Toc216881467" w:history="1">
            <w:r>
              <w:rPr>
                <w:rStyle w:val="1239"/>
                <w:rFonts w:cstheme="minorHAnsi"/>
                <w:lang w:val="en"/>
              </w:rPr>
              <w:t xml:space="preserve">Expert in charge of the assignment</w:t>
            </w:r>
            <w:r>
              <w:tab/>
            </w:r>
            <w:r>
              <w:fldChar w:fldCharType="begin"/>
            </w:r>
            <w:r>
              <w:instrText xml:space="preserve"> PAGEREF _Toc216881467 \h </w:instrText>
            </w:r>
            <w:r>
              <w:fldChar w:fldCharType="separate"/>
            </w:r>
            <w:r>
              <w:t xml:space="preserve">11</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68" w:anchor="_Toc216881468" w:history="1">
            <w:r>
              <w:rPr>
                <w:rStyle w:val="1239"/>
                <w:rFonts w:cstheme="minorHAnsi"/>
                <w:lang w:val="en"/>
              </w:rPr>
              <w:t xml:space="preserve">Place of execution</w:t>
            </w:r>
            <w:r>
              <w:tab/>
            </w:r>
            <w:r>
              <w:fldChar w:fldCharType="begin"/>
            </w:r>
            <w:r>
              <w:instrText xml:space="preserve"> PAGEREF _Toc216881468 \h </w:instrText>
            </w:r>
            <w:r>
              <w:fldChar w:fldCharType="separate"/>
            </w:r>
            <w:r>
              <w:t xml:space="preserve">11</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69" w:anchor="_Toc216881469" w:history="1">
            <w:r>
              <w:rPr>
                <w:rStyle w:val="1239"/>
                <w:lang w:val="en"/>
              </w:rPr>
              <w:t xml:space="preserve">Language of the </w:t>
            </w:r>
            <w:r>
              <w:rPr>
                <w:rStyle w:val="1239"/>
                <w:rFonts w:cstheme="minorHAnsi"/>
                <w:smallCaps/>
                <w:lang w:val="en"/>
              </w:rPr>
              <w:t xml:space="preserve">Contract</w:t>
            </w:r>
            <w:r>
              <w:tab/>
            </w:r>
            <w:r>
              <w:fldChar w:fldCharType="begin"/>
            </w:r>
            <w:r>
              <w:instrText xml:space="preserve"> PAGEREF _Toc216881469 \h </w:instrText>
            </w:r>
            <w:r>
              <w:fldChar w:fldCharType="separate"/>
            </w:r>
            <w:r>
              <w:t xml:space="preserve">11</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70" w:anchor="_Toc216881470" w:history="1">
            <w:r>
              <w:rPr>
                <w:rStyle w:val="1239"/>
                <w:lang w:val="en"/>
              </w:rPr>
              <w:t xml:space="preserve">Commitments of the </w:t>
            </w:r>
            <w:r>
              <w:rPr>
                <w:rStyle w:val="1239"/>
                <w:rFonts w:cstheme="minorHAnsi"/>
                <w:smallCaps/>
                <w:lang w:val="en"/>
              </w:rPr>
              <w:t xml:space="preserve">Contractor</w:t>
            </w:r>
            <w:r>
              <w:tab/>
            </w:r>
            <w:r>
              <w:fldChar w:fldCharType="begin"/>
            </w:r>
            <w:r>
              <w:instrText xml:space="preserve"> PAGEREF _Toc216881470 \h </w:instrText>
            </w:r>
            <w:r>
              <w:fldChar w:fldCharType="separate"/>
            </w:r>
            <w:r>
              <w:t xml:space="preserve">11</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71" w:anchor="_Toc216881471" w:history="1">
            <w:r>
              <w:rPr>
                <w:rStyle w:val="1239"/>
                <w:lang w:val="en"/>
              </w:rPr>
              <w:t xml:space="preserve">Confidentiality</w:t>
            </w:r>
            <w:r>
              <w:tab/>
            </w:r>
            <w:r>
              <w:fldChar w:fldCharType="begin"/>
            </w:r>
            <w:r>
              <w:instrText xml:space="preserve"> PAGEREF _Toc216881471 \h </w:instrText>
            </w:r>
            <w:r>
              <w:fldChar w:fldCharType="separate"/>
            </w:r>
            <w:r>
              <w:t xml:space="preserve">12</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72" w:anchor="_Toc216881472" w:history="1">
            <w:r>
              <w:rPr>
                <w:rStyle w:val="1239"/>
                <w:lang w:val="en"/>
              </w:rPr>
              <w:t xml:space="preserve">Provision of documents</w:t>
            </w:r>
            <w:r>
              <w:tab/>
            </w:r>
            <w:r>
              <w:fldChar w:fldCharType="begin"/>
            </w:r>
            <w:r>
              <w:instrText xml:space="preserve"> PAGEREF _Toc216881472 \h </w:instrText>
            </w:r>
            <w:r>
              <w:fldChar w:fldCharType="separate"/>
            </w:r>
            <w:r>
              <w:t xml:space="preserve">12</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73" w:anchor="_Toc216881473" w:history="1">
            <w:r>
              <w:rPr>
                <w:rStyle w:val="1239"/>
                <w:lang w:val="en"/>
              </w:rPr>
              <w:t xml:space="preserve">Insurance</w:t>
            </w:r>
            <w:r>
              <w:tab/>
            </w:r>
            <w:r>
              <w:fldChar w:fldCharType="begin"/>
            </w:r>
            <w:r>
              <w:instrText xml:space="preserve"> PAGEREF _Toc216881473 \h </w:instrText>
            </w:r>
            <w:r>
              <w:fldChar w:fldCharType="separate"/>
            </w:r>
            <w:r>
              <w:t xml:space="preserve">12</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74" w:anchor="_Toc216881474" w:history="1">
            <w:r>
              <w:rPr>
                <w:rStyle w:val="1239"/>
                <w:lang w:val="en"/>
              </w:rPr>
              <w:t xml:space="preserve">Contact person and communication</w:t>
            </w:r>
            <w:r>
              <w:tab/>
            </w:r>
            <w:r>
              <w:fldChar w:fldCharType="begin"/>
            </w:r>
            <w:r>
              <w:instrText xml:space="preserve"> PAGEREF _Toc216881474 \h </w:instrText>
            </w:r>
            <w:r>
              <w:fldChar w:fldCharType="separate"/>
            </w:r>
            <w:r>
              <w:t xml:space="preserve">13</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75" w:anchor="_Toc216881475" w:history="1">
            <w:r>
              <w:rPr>
                <w:rStyle w:val="1239"/>
                <w:lang w:val="en"/>
              </w:rPr>
              <w:t xml:space="preserve">Understaking against deforestation</w:t>
            </w:r>
            <w:r>
              <w:tab/>
            </w:r>
            <w:r>
              <w:fldChar w:fldCharType="begin"/>
            </w:r>
            <w:r>
              <w:instrText xml:space="preserve"> PAGEREF _Toc216881475 \h </w:instrText>
            </w:r>
            <w:r>
              <w:fldChar w:fldCharType="separate"/>
            </w:r>
            <w:r>
              <w:t xml:space="preserve">13</w:t>
            </w:r>
            <w:r>
              <w:fldChar w:fldCharType="end"/>
            </w:r>
          </w:hyperlink>
          <w:r/>
          <w:r>
            <w:rPr>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76" w:anchor="_Toc216881476" w:history="1">
            <w:r>
              <w:rPr>
                <w:rStyle w:val="1239"/>
                <w:b/>
                <w:caps/>
              </w:rPr>
              <w:t xml:space="preserve">ARTICLE 7:</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Re-examination clause</w:t>
            </w:r>
            <w:r>
              <w:tab/>
            </w:r>
            <w:r>
              <w:fldChar w:fldCharType="begin"/>
            </w:r>
            <w:r>
              <w:instrText xml:space="preserve"> PAGEREF _Toc216881476 \h </w:instrText>
            </w:r>
            <w:r>
              <w:fldChar w:fldCharType="separate"/>
            </w:r>
            <w:r>
              <w:t xml:space="preserve">14</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77" w:anchor="_Toc216881477" w:history="1">
            <w:r>
              <w:rPr>
                <w:rStyle w:val="1239"/>
                <w:b/>
                <w:caps/>
              </w:rPr>
              <w:t xml:space="preserve">ARTICLE 8:</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Similar services</w:t>
            </w:r>
            <w:r>
              <w:tab/>
            </w:r>
            <w:r>
              <w:fldChar w:fldCharType="begin"/>
            </w:r>
            <w:r>
              <w:instrText xml:space="preserve"> PAGEREF _Toc216881477 \h </w:instrText>
            </w:r>
            <w:r>
              <w:fldChar w:fldCharType="separate"/>
            </w:r>
            <w:r>
              <w:t xml:space="preserve">14</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78" w:anchor="_Toc216881478" w:history="1">
            <w:r>
              <w:rPr>
                <w:rStyle w:val="1239"/>
                <w:b/>
                <w:caps/>
              </w:rPr>
              <w:t xml:space="preserve">ARTICLE 9:</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penalties</w:t>
            </w:r>
            <w:r>
              <w:tab/>
            </w:r>
            <w:r>
              <w:fldChar w:fldCharType="begin"/>
            </w:r>
            <w:r>
              <w:instrText xml:space="preserve"> PAGEREF _Toc216881478 \h </w:instrText>
            </w:r>
            <w:r>
              <w:fldChar w:fldCharType="separate"/>
            </w:r>
            <w:r>
              <w:t xml:space="preserve">14</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79" w:anchor="_Toc216881479" w:history="1">
            <w:r>
              <w:rPr>
                <w:rStyle w:val="1239"/>
                <w:lang w:val="en"/>
              </w:rPr>
              <w:t xml:space="preserve">Penalties for periodic documentary deliverables</w:t>
            </w:r>
            <w:r>
              <w:tab/>
            </w:r>
            <w:r>
              <w:fldChar w:fldCharType="begin"/>
            </w:r>
            <w:r>
              <w:instrText xml:space="preserve"> PAGEREF _Toc216881479 \h </w:instrText>
            </w:r>
            <w:r>
              <w:fldChar w:fldCharType="separate"/>
            </w:r>
            <w:r>
              <w:t xml:space="preserve">14</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80" w:anchor="_Toc216881480" w:history="1">
            <w:r>
              <w:rPr>
                <w:rStyle w:val="1239"/>
                <w:lang w:val="en"/>
              </w:rPr>
              <w:t xml:space="preserve">Penalties applicable to submission of final deliverables</w:t>
            </w:r>
            <w:r>
              <w:tab/>
            </w:r>
            <w:r>
              <w:fldChar w:fldCharType="begin"/>
            </w:r>
            <w:r>
              <w:instrText xml:space="preserve"> PAGEREF _Toc216881480 \h </w:instrText>
            </w:r>
            <w:r>
              <w:fldChar w:fldCharType="separate"/>
            </w:r>
            <w:r>
              <w:t xml:space="preserve">14</w:t>
            </w:r>
            <w:r>
              <w:fldChar w:fldCharType="end"/>
            </w:r>
          </w:hyperlink>
          <w:r/>
          <w:r>
            <w:rPr>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81" w:anchor="_Toc216881481" w:history="1">
            <w:r>
              <w:rPr>
                <w:rStyle w:val="1239"/>
                <w:b/>
                <w:caps/>
              </w:rPr>
              <w:t xml:space="preserve">ARTICLE 10:</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intellectual property</w:t>
            </w:r>
            <w:r>
              <w:tab/>
            </w:r>
            <w:r>
              <w:fldChar w:fldCharType="begin"/>
            </w:r>
            <w:r>
              <w:instrText xml:space="preserve"> PAGEREF _Toc216881481 \h </w:instrText>
            </w:r>
            <w:r>
              <w:fldChar w:fldCharType="separate"/>
            </w:r>
            <w:r>
              <w:t xml:space="preserve">14</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82" w:anchor="_Toc216881482" w:history="1">
            <w:r>
              <w:rPr>
                <w:rStyle w:val="1239"/>
                <w:lang w:val="en"/>
              </w:rPr>
              <w:t xml:space="preserve">Definitions</w:t>
            </w:r>
            <w:r>
              <w:tab/>
            </w:r>
            <w:r>
              <w:fldChar w:fldCharType="begin"/>
            </w:r>
            <w:r>
              <w:instrText xml:space="preserve"> PAGEREF _Toc216881482 \h </w:instrText>
            </w:r>
            <w:r>
              <w:fldChar w:fldCharType="separate"/>
            </w:r>
            <w:r>
              <w:t xml:space="preserve">14</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83" w:anchor="_Toc216881483" w:history="1">
            <w:r>
              <w:rPr>
                <w:rStyle w:val="1239"/>
                <w:lang w:val="en"/>
              </w:rPr>
              <w:t xml:space="preserve">Ownership of results</w:t>
            </w:r>
            <w:r>
              <w:tab/>
            </w:r>
            <w:r>
              <w:fldChar w:fldCharType="begin"/>
            </w:r>
            <w:r>
              <w:instrText xml:space="preserve"> PAGEREF _Toc216881483 \h </w:instrText>
            </w:r>
            <w:r>
              <w:fldChar w:fldCharType="separate"/>
            </w:r>
            <w:r>
              <w:t xml:space="preserve">15</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84" w:anchor="_Toc216881484" w:history="1">
            <w:r>
              <w:rPr>
                <w:rStyle w:val="1239"/>
                <w:lang w:val="en"/>
              </w:rPr>
              <w:t xml:space="preserve">Exploitation of results</w:t>
            </w:r>
            <w:r>
              <w:tab/>
            </w:r>
            <w:r>
              <w:fldChar w:fldCharType="begin"/>
            </w:r>
            <w:r>
              <w:instrText xml:space="preserve"> PAGEREF _Toc216881484 \h </w:instrText>
            </w:r>
            <w:r>
              <w:fldChar w:fldCharType="separate"/>
            </w:r>
            <w:r>
              <w:t xml:space="preserve">15</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85" w:anchor="_Toc216881485" w:history="1">
            <w:r>
              <w:rPr>
                <w:rStyle w:val="1239"/>
                <w:lang w:val="en"/>
              </w:rPr>
              <w:t xml:space="preserve">Licensing of pre-existing rights</w:t>
            </w:r>
            <w:r>
              <w:tab/>
            </w:r>
            <w:r>
              <w:fldChar w:fldCharType="begin"/>
            </w:r>
            <w:r>
              <w:instrText xml:space="preserve"> PAGEREF _Toc216881485 \h </w:instrText>
            </w:r>
            <w:r>
              <w:fldChar w:fldCharType="separate"/>
            </w:r>
            <w:r>
              <w:t xml:space="preserve">15</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86" w:anchor="_Toc216881486" w:history="1">
            <w:r>
              <w:rPr>
                <w:rStyle w:val="1239"/>
                <w:lang w:val="en"/>
              </w:rPr>
              <w:t xml:space="preserve">Guarantees</w:t>
            </w:r>
            <w:r>
              <w:tab/>
            </w:r>
            <w:r>
              <w:fldChar w:fldCharType="begin"/>
            </w:r>
            <w:r>
              <w:instrText xml:space="preserve"> PAGEREF _Toc216881486 \h </w:instrText>
            </w:r>
            <w:r>
              <w:fldChar w:fldCharType="separate"/>
            </w:r>
            <w:r>
              <w:t xml:space="preserve">16</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87" w:anchor="_Toc216881487" w:history="1">
            <w:r>
              <w:rPr>
                <w:rStyle w:val="1239"/>
                <w:lang w:val="en"/>
              </w:rPr>
              <w:t xml:space="preserve">Image rights</w:t>
            </w:r>
            <w:r>
              <w:tab/>
            </w:r>
            <w:r>
              <w:fldChar w:fldCharType="begin"/>
            </w:r>
            <w:r>
              <w:instrText xml:space="preserve"> PAGEREF _Toc216881487 \h </w:instrText>
            </w:r>
            <w:r>
              <w:fldChar w:fldCharType="separate"/>
            </w:r>
            <w:r>
              <w:t xml:space="preserve">16</w:t>
            </w:r>
            <w:r>
              <w:fldChar w:fldCharType="end"/>
            </w:r>
          </w:hyperlink>
          <w:r/>
          <w:r>
            <w:rPr>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88" w:anchor="_Toc216881488" w:history="1">
            <w:r>
              <w:rPr>
                <w:rStyle w:val="1239"/>
                <w:b/>
                <w:caps/>
              </w:rPr>
              <w:t xml:space="preserve">ARTICLE 11:</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Termination of the contract</w:t>
            </w:r>
            <w:r>
              <w:tab/>
            </w:r>
            <w:r>
              <w:fldChar w:fldCharType="begin"/>
            </w:r>
            <w:r>
              <w:instrText xml:space="preserve"> PAGEREF _Toc216881488 \h </w:instrText>
            </w:r>
            <w:r>
              <w:fldChar w:fldCharType="separate"/>
            </w:r>
            <w:r>
              <w:t xml:space="preserve">16</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89" w:anchor="_Toc216881489" w:history="1">
            <w:r>
              <w:rPr>
                <w:rStyle w:val="1239"/>
                <w:rFonts w:cstheme="minorHAnsi"/>
                <w:lang w:val="en"/>
              </w:rPr>
              <w:t xml:space="preserve">General terms of performance</w:t>
            </w:r>
            <w:r>
              <w:tab/>
            </w:r>
            <w:r>
              <w:fldChar w:fldCharType="begin"/>
            </w:r>
            <w:r>
              <w:instrText xml:space="preserve"> PAGEREF _Toc216881489 \h </w:instrText>
            </w:r>
            <w:r>
              <w:fldChar w:fldCharType="separate"/>
            </w:r>
            <w:r>
              <w:t xml:space="preserve">16</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90" w:anchor="_Toc216881490" w:history="1">
            <w:r>
              <w:rPr>
                <w:rStyle w:val="1239"/>
                <w:rFonts w:cstheme="minorHAnsi"/>
                <w:lang w:val="en"/>
              </w:rPr>
              <w:t xml:space="preserve">Termination of the Contract due to the non-availability of a designated expert</w:t>
            </w:r>
            <w:r>
              <w:tab/>
            </w:r>
            <w:r>
              <w:fldChar w:fldCharType="begin"/>
            </w:r>
            <w:r>
              <w:instrText xml:space="preserve"> PAGEREF _Toc216881490 \h </w:instrText>
            </w:r>
            <w:r>
              <w:fldChar w:fldCharType="separate"/>
            </w:r>
            <w:r>
              <w:t xml:space="preserve">16</w:t>
            </w:r>
            <w:r>
              <w:fldChar w:fldCharType="end"/>
            </w:r>
          </w:hyperlink>
          <w:r/>
          <w:r>
            <w:rPr>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91" w:anchor="_Toc216881491" w:history="1">
            <w:r>
              <w:rPr>
                <w:rStyle w:val="1239"/>
                <w:rFonts w:cstheme="minorHAnsi"/>
                <w:lang w:val="en"/>
              </w:rPr>
              <w:t xml:space="preserve">Procedure</w:t>
            </w:r>
            <w:r>
              <w:tab/>
            </w:r>
            <w:r>
              <w:fldChar w:fldCharType="begin"/>
            </w:r>
            <w:r>
              <w:instrText xml:space="preserve"> PAGEREF _Toc216881491 \h </w:instrText>
            </w:r>
            <w:r>
              <w:fldChar w:fldCharType="separate"/>
            </w:r>
            <w:r>
              <w:t xml:space="preserve">16</w:t>
            </w:r>
            <w:r>
              <w:fldChar w:fldCharType="end"/>
            </w:r>
          </w:hyperlink>
          <w:r/>
          <w:r>
            <w:rPr>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92" w:anchor="_Toc216881492" w:history="1">
            <w:r>
              <w:rPr>
                <w:rStyle w:val="1239"/>
                <w:b/>
                <w:caps/>
                <w:lang w:val="en-GB"/>
              </w:rPr>
              <w:t xml:space="preserve">ARTICLE 12:</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safety and security measures and responsabilities</w:t>
            </w:r>
            <w:r>
              <w:tab/>
            </w:r>
            <w:r>
              <w:fldChar w:fldCharType="begin"/>
            </w:r>
            <w:r>
              <w:instrText xml:space="preserve"> PAGEREF _Toc216881492 \h </w:instrText>
            </w:r>
            <w:r>
              <w:fldChar w:fldCharType="separate"/>
            </w:r>
            <w:r>
              <w:t xml:space="preserve">16</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93" w:anchor="_Toc216881493" w:history="1">
            <w:r>
              <w:rPr>
                <w:rStyle w:val="1239"/>
                <w:b/>
                <w:caps/>
                <w:lang w:val="en-GB"/>
              </w:rPr>
              <w:t xml:space="preserve">ARTICLE 13:</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ethics</w:t>
            </w:r>
            <w:r>
              <w:tab/>
            </w:r>
            <w:r>
              <w:fldChar w:fldCharType="begin"/>
            </w:r>
            <w:r>
              <w:instrText xml:space="preserve"> PAGEREF _Toc216881493 \h </w:instrText>
            </w:r>
            <w:r>
              <w:fldChar w:fldCharType="separate"/>
            </w:r>
            <w:r>
              <w:t xml:space="preserve">17</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94" w:anchor="_Toc216881494" w:history="1">
            <w:r>
              <w:rPr>
                <w:rStyle w:val="1239"/>
                <w:b/>
                <w:caps/>
              </w:rPr>
              <w:t xml:space="preserve">ARTICLE 14:</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Administration of personal data</w:t>
            </w:r>
            <w:r>
              <w:tab/>
            </w:r>
            <w:r>
              <w:fldChar w:fldCharType="begin"/>
            </w:r>
            <w:r>
              <w:instrText xml:space="preserve"> PAGEREF _Toc216881494 \h </w:instrText>
            </w:r>
            <w:r>
              <w:fldChar w:fldCharType="separate"/>
            </w:r>
            <w:r>
              <w:t xml:space="preserve">17</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95" w:anchor="_Toc216881495" w:history="1">
            <w:r>
              <w:rPr>
                <w:rStyle w:val="1239"/>
                <w:b/>
                <w:caps/>
              </w:rPr>
              <w:t xml:space="preserve">ARTICLE 15:</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Dispute resolution - applicable law</w:t>
            </w:r>
            <w:r>
              <w:tab/>
            </w:r>
            <w:r>
              <w:fldChar w:fldCharType="begin"/>
            </w:r>
            <w:r>
              <w:instrText xml:space="preserve"> PAGEREF _Toc216881495 \h </w:instrText>
            </w:r>
            <w:r>
              <w:fldChar w:fldCharType="separate"/>
            </w:r>
            <w:r>
              <w:t xml:space="preserve">18</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96" w:anchor="_Toc216881496" w:history="1">
            <w:r>
              <w:rPr>
                <w:rStyle w:val="1239"/>
                <w:b/>
                <w:caps/>
              </w:rPr>
              <w:t xml:space="preserve">ARTICLE 16:</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Derogation from the CCAG</w:t>
            </w:r>
            <w:r>
              <w:tab/>
            </w:r>
            <w:r>
              <w:fldChar w:fldCharType="begin"/>
            </w:r>
            <w:r>
              <w:instrText xml:space="preserve"> PAGEREF _Toc216881496 \h </w:instrText>
            </w:r>
            <w:r>
              <w:fldChar w:fldCharType="separate"/>
            </w:r>
            <w:r>
              <w:t xml:space="preserve">19</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97" w:anchor="_Toc216881497" w:history="1">
            <w:r>
              <w:rPr>
                <w:rStyle w:val="1239"/>
                <w:b/>
                <w:caps/>
              </w:rPr>
              <w:t xml:space="preserve">ARTICLE 17:</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AUDIT</w:t>
            </w:r>
            <w:r>
              <w:tab/>
            </w:r>
            <w:r>
              <w:fldChar w:fldCharType="begin"/>
            </w:r>
            <w:r>
              <w:instrText xml:space="preserve"> PAGEREF _Toc216881497 \h </w:instrText>
            </w:r>
            <w:r>
              <w:fldChar w:fldCharType="separate"/>
            </w:r>
            <w:r>
              <w:t xml:space="preserve">19</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5"/>
            <w:pBdr/>
            <w:tabs>
              <w:tab w:val="left" w:leader="none" w:pos="1540"/>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498" w:anchor="_Toc216881498" w:history="1">
            <w:r>
              <w:rPr>
                <w:rStyle w:val="1239"/>
                <w:b/>
                <w:caps/>
              </w:rPr>
              <w:t xml:space="preserve">ARTICLE 18:</w:t>
            </w:r>
            <w:r>
              <w:rPr>
                <w:rFonts w:asciiTheme="minorHAnsi" w:hAnsiTheme="minorHAnsi" w:eastAsiaTheme="minorEastAsia" w:cstheme="minorBidi"/>
                <w:sz w:val="24"/>
                <w:szCs w:val="24"/>
                <w:lang w:val="es-CO" w:eastAsia="es-CO"/>
                <w14:ligatures w14:val="standardContextual"/>
              </w:rPr>
              <w:tab/>
            </w:r>
            <w:r>
              <w:rPr>
                <w:rStyle w:val="1239"/>
                <w:b/>
                <w:bCs/>
                <w:caps/>
                <w:lang w:val="en"/>
              </w:rPr>
              <w:t xml:space="preserve">Final provisions</w:t>
            </w:r>
            <w:r>
              <w:tab/>
            </w:r>
            <w:r>
              <w:fldChar w:fldCharType="begin"/>
            </w:r>
            <w:r>
              <w:instrText xml:space="preserve"> PAGEREF _Toc216881498 \h </w:instrText>
            </w:r>
            <w:r>
              <w:fldChar w:fldCharType="separate"/>
            </w:r>
            <w:r>
              <w:t xml:space="preserve">20</w:t>
            </w:r>
            <w:r>
              <w:fldChar w:fldCharType="end"/>
            </w:r>
          </w:hyperlink>
          <w:r/>
          <w:r>
            <w:rPr>
              <w:rFonts w:asciiTheme="minorHAnsi" w:hAnsiTheme="minorHAnsi" w:eastAsiaTheme="minorEastAsia" w:cstheme="minorBidi"/>
              <w:sz w:val="24"/>
              <w:szCs w:val="24"/>
              <w:lang w:val="es-CO" w:eastAsia="es-CO"/>
              <w14:ligatures w14:val="standardContextual"/>
            </w:rPr>
          </w:r>
        </w:p>
        <w:p>
          <w:pPr>
            <w:pStyle w:val="1266"/>
            <w:pBdr/>
            <w:spacing/>
            <w:ind/>
            <w:rPr>
              <w:sz w:val="24"/>
              <w:szCs w:val="24"/>
              <w:lang w:val="es-CO" w:eastAsia="es-CO"/>
              <w14:ligatures w14:val="standardContextual"/>
            </w:rPr>
          </w:pPr>
          <w:r/>
          <w:hyperlink w:tooltip="#_Toc216881499" w:anchor="_Toc216881499" w:history="1">
            <w:r>
              <w:rPr>
                <w:rStyle w:val="1239"/>
                <w:lang w:val="en"/>
              </w:rPr>
              <w:t xml:space="preserve">Declaration</w:t>
            </w:r>
            <w:r>
              <w:tab/>
            </w:r>
            <w:r>
              <w:fldChar w:fldCharType="begin"/>
            </w:r>
            <w:r>
              <w:instrText xml:space="preserve"> PAGEREF _Toc216881499 \h </w:instrText>
            </w:r>
            <w:r>
              <w:fldChar w:fldCharType="separate"/>
            </w:r>
            <w:r>
              <w:t xml:space="preserve">20</w:t>
            </w:r>
            <w:r>
              <w:fldChar w:fldCharType="end"/>
            </w:r>
          </w:hyperlink>
          <w:r/>
          <w:r>
            <w:rPr>
              <w:sz w:val="24"/>
              <w:szCs w:val="24"/>
              <w:lang w:val="es-CO" w:eastAsia="es-CO"/>
              <w14:ligatures w14:val="standardContextual"/>
            </w:rPr>
          </w:r>
        </w:p>
        <w:p>
          <w:pPr>
            <w:pStyle w:val="1265"/>
            <w:pBdr/>
            <w:tabs>
              <w:tab w:val="right" w:leader="dot" w:pos="9736"/>
            </w:tabs>
            <w:spacing/>
            <w:ind/>
            <w:rPr>
              <w:rFonts w:asciiTheme="minorHAnsi" w:hAnsiTheme="minorHAnsi" w:eastAsiaTheme="minorEastAsia" w:cstheme="minorBidi"/>
              <w:sz w:val="24"/>
              <w:szCs w:val="24"/>
              <w:lang w:val="es-CO" w:eastAsia="es-CO"/>
              <w14:ligatures w14:val="standardContextual"/>
            </w:rPr>
          </w:pPr>
          <w:r/>
          <w:hyperlink w:tooltip="#_Toc216881500" w:anchor="_Toc216881500" w:history="1">
            <w:r>
              <w:rPr>
                <w:rStyle w:val="1239"/>
                <w:b/>
                <w:bCs/>
                <w:caps/>
                <w:lang w:val="en"/>
              </w:rPr>
              <w:t xml:space="preserve">Annex 1: Specifications</w:t>
            </w:r>
            <w:r>
              <w:tab/>
            </w:r>
            <w:r>
              <w:fldChar w:fldCharType="begin"/>
            </w:r>
            <w:r>
              <w:instrText xml:space="preserve"> PAGEREF _Toc216881500 \h </w:instrText>
            </w:r>
            <w:r>
              <w:fldChar w:fldCharType="separate"/>
            </w:r>
            <w:r>
              <w:t xml:space="preserve">22</w:t>
            </w:r>
            <w:r>
              <w:fldChar w:fldCharType="end"/>
            </w:r>
          </w:hyperlink>
          <w:r/>
          <w:r>
            <w:rPr>
              <w:rFonts w:asciiTheme="minorHAnsi" w:hAnsiTheme="minorHAnsi" w:eastAsiaTheme="minorEastAsia" w:cstheme="minorBidi"/>
              <w:sz w:val="24"/>
              <w:szCs w:val="24"/>
              <w:lang w:val="es-CO" w:eastAsia="es-CO"/>
              <w14:ligatures w14:val="standardContextual"/>
            </w:rPr>
          </w:r>
        </w:p>
        <w:p>
          <w:pPr>
            <w:pBdr/>
            <w:spacing/>
            <w:ind/>
            <w:rPr>
              <w:rFonts w:asciiTheme="minorHAnsi" w:hAnsiTheme="minorHAnsi"/>
            </w:rPr>
          </w:pPr>
          <w:r>
            <w:rPr>
              <w:rFonts w:asciiTheme="minorHAnsi" w:hAnsiTheme="minorHAnsi"/>
            </w:rPr>
            <w:fldChar w:fldCharType="end"/>
          </w:r>
          <w:r>
            <w:rPr>
              <w:rFonts w:asciiTheme="minorHAnsi" w:hAnsiTheme="minorHAnsi"/>
            </w:rPr>
          </w:r>
        </w:p>
      </w:sdtContent>
    </w:sdt>
    <w:p>
      <w:pPr>
        <w:widowControl w:val="false"/>
        <w:pBdr/>
        <w:spacing/>
        <w:ind/>
        <w:rPr>
          <w:rFonts w:cs="Arial" w:asciiTheme="minorHAnsi" w:hAnsiTheme="minorHAnsi"/>
          <w:b/>
          <w:sz w:val="22"/>
        </w:rPr>
        <w:sectPr>
          <w:headerReference w:type="default" r:id="rId11"/>
          <w:footnotePr/>
          <w:endnotePr/>
          <w:type w:val="nextPage"/>
          <w:pgSz w:h="16838" w:orient="portrait" w:w="11906"/>
          <w:pgMar w:top="902" w:right="1009" w:bottom="1616" w:left="1151" w:header="431" w:footer="567" w:gutter="0"/>
          <w:cols w:num="1" w:sep="0" w:space="708" w:equalWidth="1"/>
        </w:sectPr>
      </w:pPr>
      <w:r>
        <w:rPr>
          <w:rFonts w:cs="Arial" w:asciiTheme="minorHAnsi" w:hAnsiTheme="minorHAnsi"/>
          <w:b/>
          <w:sz w:val="22"/>
        </w:rPr>
      </w:r>
      <w:r>
        <w:rPr>
          <w:rFonts w:cs="Arial" w:asciiTheme="minorHAnsi" w:hAnsiTheme="minorHAnsi"/>
          <w:b/>
          <w:sz w:val="22"/>
        </w:rPr>
      </w:r>
    </w:p>
    <w:p>
      <w:pPr>
        <w:pStyle w:val="1244"/>
        <w:widowControl w:val="false"/>
        <w:pBdr/>
        <w:spacing w:after="240" w:before="600"/>
        <w:ind w:firstLine="0" w:left="567"/>
        <w:outlineLvl w:val="0"/>
        <w:rPr>
          <w:rFonts w:asciiTheme="minorHAnsi" w:hAnsiTheme="minorHAnsi"/>
          <w:b/>
          <w:caps/>
          <w:sz w:val="32"/>
          <w:u w:val="single"/>
          <w:lang w:val="en-GB"/>
        </w:rPr>
      </w:pPr>
      <w:r/>
      <w:bookmarkStart w:id="4" w:name="_Toc524095221"/>
      <w:r/>
      <w:bookmarkStart w:id="5" w:name="_Toc216881445"/>
      <w:r>
        <w:rPr>
          <w:rFonts w:asciiTheme="minorHAnsi" w:hAnsiTheme="minorHAnsi"/>
          <w:b/>
          <w:bCs/>
          <w:caps/>
          <w:sz w:val="32"/>
          <w:u w:val="single"/>
          <w:lang w:val="en"/>
        </w:rPr>
        <w:t xml:space="preserve">special conditions</w:t>
      </w:r>
      <w:bookmarkEnd w:id="4"/>
      <w:r>
        <w:rPr>
          <w:rFonts w:asciiTheme="minorHAnsi" w:hAnsiTheme="minorHAnsi"/>
          <w:b/>
          <w:bCs/>
          <w:caps/>
          <w:sz w:val="32"/>
          <w:u w:val="single"/>
          <w:lang w:val="en"/>
        </w:rPr>
        <w:t xml:space="preserve"> – commitment procedure</w:t>
      </w:r>
      <w:bookmarkEnd w:id="5"/>
      <w:r/>
      <w:r>
        <w:rPr>
          <w:rFonts w:asciiTheme="minorHAnsi" w:hAnsiTheme="minorHAnsi"/>
          <w:b/>
          <w:caps/>
          <w:sz w:val="32"/>
          <w:u w:val="single"/>
          <w:lang w:val="en-GB"/>
        </w:rPr>
      </w:r>
    </w:p>
    <w:p>
      <w:pPr>
        <w:pStyle w:val="1242"/>
        <w:widowControl w:val="false"/>
        <w:pBdr/>
        <w:spacing w:after="240" w:before="240"/>
        <w:ind/>
        <w:rPr>
          <w:rFonts w:cs="Arial" w:asciiTheme="minorHAnsi" w:hAnsiTheme="minorHAnsi"/>
          <w:b/>
          <w:lang w:val="en-GB"/>
        </w:rPr>
      </w:pPr>
      <w:r>
        <w:rPr>
          <w:rFonts w:cs="Arial" w:asciiTheme="minorHAnsi" w:hAnsiTheme="minorHAnsi"/>
          <w:b/>
          <w:bCs/>
          <w:lang w:val="en"/>
        </w:rPr>
        <w:t xml:space="preserve">Between:</w:t>
      </w:r>
      <w:r>
        <w:rPr>
          <w:rFonts w:cs="Arial" w:asciiTheme="minorHAnsi" w:hAnsiTheme="minorHAnsi"/>
          <w:b/>
          <w:lang w:val="en-GB"/>
        </w:rPr>
      </w:r>
    </w:p>
    <w:tbl>
      <w:tblPr>
        <w:tblStyle w:val="1263"/>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242"/>
              <w:widowControl w:val="false"/>
              <w:pBdr/>
              <w:spacing/>
              <w:ind/>
              <w:rPr>
                <w:rFonts w:cs="Arial" w:asciiTheme="minorHAnsi" w:hAnsiTheme="minorHAnsi"/>
                <w:b/>
                <w:smallCaps/>
                <w:sz w:val="20"/>
                <w:u w:val="single"/>
              </w:rPr>
            </w:pPr>
            <w:r>
              <w:rPr>
                <w:rFonts w:ascii="Calibri" w:hAnsi="Calibri"/>
                <w:b/>
                <w:smallCaps/>
              </w:rPr>
              <w:t xml:space="preserve">EXPERTISE FRANCE SAS</w:t>
            </w:r>
            <w:r>
              <w:rPr>
                <w:rFonts w:cs="Arial" w:asciiTheme="minorHAnsi" w:hAnsiTheme="minorHAnsi"/>
                <w:b/>
                <w:smallCaps/>
                <w:sz w:val="20"/>
                <w:u w:val="single"/>
              </w:rPr>
            </w:r>
          </w:p>
          <w:p>
            <w:pPr>
              <w:pStyle w:val="1242"/>
              <w:widowControl w:val="false"/>
              <w:pBdr/>
              <w:spacing/>
              <w:ind/>
              <w:rPr>
                <w:rFonts w:cs="Arial" w:asciiTheme="minorHAnsi" w:hAnsiTheme="minorHAnsi"/>
              </w:rPr>
            </w:pPr>
            <w:r>
              <w:rPr>
                <w:rFonts w:cs="Arial" w:asciiTheme="minorHAnsi" w:hAnsiTheme="minorHAnsi"/>
              </w:rPr>
              <w:t xml:space="preserve">40, boulevard de Port Royal - 75005 PARIS, France</w:t>
            </w:r>
            <w:r>
              <w:rPr>
                <w:rFonts w:cs="Arial" w:asciiTheme="minorHAnsi" w:hAnsiTheme="minorHAnsi"/>
              </w:rPr>
            </w:r>
          </w:p>
          <w:p>
            <w:pPr>
              <w:pStyle w:val="1242"/>
              <w:widowControl w:val="false"/>
              <w:pBdr/>
              <w:spacing/>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cs="Arial" w:asciiTheme="minorHAnsi" w:hAnsiTheme="minorHAnsi"/>
                <w:lang w:val="en"/>
              </w:rPr>
              <w:t xml:space="preserve">registered under the following numbers:</w:t>
            </w:r>
            <w:r>
              <w:rPr>
                <w:rFonts w:asciiTheme="minorHAnsi" w:hAnsiTheme="minorHAnsi" w:cstheme="minorHAnsi"/>
                <w:szCs w:val="22"/>
                <w:lang w:val="en-GB"/>
              </w:rPr>
            </w:r>
          </w:p>
          <w:p>
            <w:pPr>
              <w:pStyle w:val="1242"/>
              <w:widowControl w:val="false"/>
              <w:numPr>
                <w:ilvl w:val="0"/>
                <w:numId w:val="2"/>
              </w:numPr>
              <w:pBdr/>
              <w:tabs>
                <w:tab w:val="clear" w:leader="none" w:pos="360"/>
                <w:tab w:val="num" w:leader="none" w:pos="1134"/>
              </w:tabs>
              <w:spacing/>
              <w:ind w:left="1134"/>
              <w:rPr>
                <w:rFonts w:cs="Arial" w:asciiTheme="minorHAnsi" w:hAnsiTheme="minorHAnsi"/>
              </w:rPr>
            </w:pPr>
            <w:r>
              <w:rPr>
                <w:rFonts w:cs="Arial" w:asciiTheme="minorHAnsi" w:hAnsiTheme="minorHAnsi"/>
                <w:lang w:val="en"/>
              </w:rPr>
              <w:t xml:space="preserve">SIRET no.: 808 734 792 00035</w:t>
            </w:r>
            <w:r>
              <w:rPr>
                <w:rFonts w:cs="Arial" w:asciiTheme="minorHAnsi" w:hAnsiTheme="minorHAnsi"/>
              </w:rPr>
            </w:r>
          </w:p>
          <w:p>
            <w:pPr>
              <w:pStyle w:val="1242"/>
              <w:widowControl w:val="false"/>
              <w:numPr>
                <w:ilvl w:val="0"/>
                <w:numId w:val="2"/>
              </w:numPr>
              <w:pBdr/>
              <w:tabs>
                <w:tab w:val="clear" w:leader="none" w:pos="360"/>
                <w:tab w:val="num" w:leader="none" w:pos="1134"/>
              </w:tabs>
              <w:spacing/>
              <w:ind w:left="1134"/>
              <w:rPr>
                <w:rFonts w:cs="Arial" w:asciiTheme="minorHAnsi" w:hAnsiTheme="minorHAnsi"/>
                <w:lang w:val="en-GB"/>
              </w:rPr>
            </w:pPr>
            <w:r>
              <w:rPr>
                <w:rFonts w:cs="Arial" w:asciiTheme="minorHAnsi" w:hAnsiTheme="minorHAnsi"/>
                <w:lang w:val="en"/>
              </w:rPr>
              <w:t xml:space="preserve">Intra-community VAT number: FR36 808734792</w:t>
            </w:r>
            <w:r>
              <w:rPr>
                <w:rFonts w:cs="Arial" w:asciiTheme="minorHAnsi" w:hAnsiTheme="minorHAnsi"/>
                <w:lang w:val="en-GB"/>
              </w:rPr>
            </w:r>
          </w:p>
          <w:p>
            <w:pPr>
              <w:pStyle w:val="1242"/>
              <w:widowControl w:val="false"/>
              <w:pBdr/>
              <w:spacing/>
              <w:ind/>
              <w:rPr>
                <w:rFonts w:cs="Arial" w:asciiTheme="minorHAnsi" w:hAnsiTheme="minorHAnsi"/>
                <w:lang w:val="en-GB"/>
              </w:rPr>
            </w:pPr>
            <w:r>
              <w:rPr>
                <w:rFonts w:cs="Arial" w:asciiTheme="minorHAnsi" w:hAnsiTheme="minorHAnsi"/>
                <w:lang w:val="en-GB"/>
              </w:rPr>
            </w:r>
            <w:r>
              <w:rPr>
                <w:rFonts w:cs="Arial" w:asciiTheme="minorHAnsi" w:hAnsiTheme="minorHAnsi"/>
                <w:lang w:val="en-GB"/>
              </w:rPr>
            </w:r>
          </w:p>
          <w:p>
            <w:pPr>
              <w:pStyle w:val="1242"/>
              <w:widowControl w:val="false"/>
              <w:pBdr/>
              <w:spacing/>
              <w:ind/>
              <w:rPr>
                <w:rFonts w:cs="Arial" w:asciiTheme="minorHAnsi" w:hAnsiTheme="minorHAnsi"/>
                <w:lang w:val="en-GB"/>
              </w:rPr>
            </w:pPr>
            <w:r>
              <w:rPr>
                <w:rFonts w:cs="Arial" w:asciiTheme="minorHAnsi" w:hAnsiTheme="minorHAnsi"/>
                <w:lang w:val="en"/>
              </w:rPr>
              <w:t xml:space="preserve">Represented by Murielle GURTNER, Regional Coordinator for the Andean Countries,</w:t>
            </w:r>
            <w:r>
              <w:rPr>
                <w:rFonts w:cs="Arial" w:asciiTheme="minorHAnsi" w:hAnsiTheme="minorHAnsi"/>
                <w:lang w:val="en-GB"/>
              </w:rPr>
            </w:r>
          </w:p>
          <w:p>
            <w:pPr>
              <w:widowControl w:val="false"/>
              <w:pBdr/>
              <w:spacing/>
              <w:ind/>
              <w:jc w:val="both"/>
              <w:rPr>
                <w:rFonts w:cs="Arial" w:asciiTheme="minorHAnsi" w:hAnsiTheme="minorHAnsi"/>
                <w:b/>
                <w:bCs/>
                <w:sz w:val="22"/>
                <w:u w:val="single"/>
              </w:rPr>
            </w:pPr>
            <w:r>
              <w:rPr>
                <w:rFonts w:cs="Arial" w:asciiTheme="minorHAnsi" w:hAnsiTheme="minorHAnsi"/>
                <w:b/>
                <w:bCs/>
                <w:sz w:val="22"/>
                <w:u w:val="single"/>
                <w:lang w:val="en"/>
              </w:rPr>
              <w:t xml:space="preserve">of the first part,</w:t>
            </w:r>
            <w:r>
              <w:rPr>
                <w:rFonts w:cs="Arial" w:asciiTheme="minorHAnsi" w:hAnsiTheme="minorHAnsi"/>
                <w:b/>
                <w:bCs/>
                <w:sz w:val="22"/>
                <w:u w:val="single"/>
              </w:rPr>
            </w:r>
          </w:p>
          <w:p>
            <w:pPr>
              <w:pStyle w:val="1242"/>
              <w:widowControl w:val="false"/>
              <w:pBdr/>
              <w:spacing/>
              <w:ind/>
              <w:rPr>
                <w:rFonts w:cs="Arial" w:asciiTheme="minorHAnsi" w:hAnsiTheme="minorHAnsi"/>
                <w:sz w:val="20"/>
              </w:rPr>
            </w:pPr>
            <w:r>
              <w:rPr>
                <w:rFonts w:cs="Arial" w:asciiTheme="minorHAnsi" w:hAnsiTheme="minorHAnsi"/>
                <w:sz w:val="20"/>
              </w:rPr>
            </w:r>
            <w:r>
              <w:rPr>
                <w:rFonts w:cs="Arial" w:asciiTheme="minorHAnsi" w:hAnsiTheme="minorHAnsi"/>
                <w:sz w:val="20"/>
              </w:rPr>
            </w:r>
          </w:p>
        </w:tc>
      </w:tr>
    </w:tbl>
    <w:p>
      <w:pPr>
        <w:widowControl w:val="false"/>
        <w:pBdr/>
        <w:spacing w:after="240" w:before="240"/>
        <w:ind/>
        <w:jc w:val="both"/>
        <w:rPr>
          <w:rFonts w:cs="Arial" w:asciiTheme="minorHAnsi" w:hAnsiTheme="minorHAnsi"/>
          <w:b/>
          <w:bCs/>
          <w:sz w:val="22"/>
          <w:highlight w:val="yellow"/>
        </w:rPr>
      </w:pPr>
      <w:r>
        <w:rPr>
          <w:rFonts w:cs="Arial" w:asciiTheme="minorHAnsi" w:hAnsiTheme="minorHAnsi"/>
          <w:b/>
          <w:bCs/>
          <w:sz w:val="22"/>
          <w:lang w:val="en"/>
        </w:rPr>
        <w:t xml:space="preserve">and:</w:t>
      </w:r>
      <w:r>
        <w:rPr>
          <w:rFonts w:cs="Arial" w:asciiTheme="minorHAnsi" w:hAnsiTheme="minorHAnsi"/>
          <w:b/>
          <w:bCs/>
          <w:sz w:val="22"/>
          <w:highlight w:val="yellow"/>
        </w:rPr>
      </w:r>
    </w:p>
    <w:tbl>
      <w:tblPr>
        <w:tblStyle w:val="1263"/>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242"/>
              <w:widowControl w:val="false"/>
              <w:pBdr/>
              <w:spacing/>
              <w:ind/>
              <w:rPr>
                <w:rFonts w:asciiTheme="minorHAnsi" w:hAnsiTheme="minorHAnsi" w:cstheme="minorHAnsi"/>
                <w:b/>
                <w:smallCaps/>
                <w:szCs w:val="22"/>
                <w:highlight w:val="darkGray"/>
                <w:u w:val="single"/>
                <w:lang w:val="en-GB"/>
              </w:rPr>
            </w:pPr>
            <w:r>
              <w:rPr>
                <w:rFonts w:asciiTheme="minorHAnsi" w:hAnsiTheme="minorHAnsi" w:cstheme="minorHAnsi"/>
                <w:b/>
                <w:bCs/>
                <w:smallCaps/>
                <w:szCs w:val="22"/>
                <w:highlight w:val="darkGray"/>
                <w:u w:val="single"/>
                <w:lang w:val="en"/>
              </w:rPr>
              <w:t xml:space="preserve">co-contracting party’s </w:t>
            </w:r>
            <w:commentRangeStart w:id="1"/>
            <w:r>
              <w:rPr>
                <w:rFonts w:asciiTheme="minorHAnsi" w:hAnsiTheme="minorHAnsi" w:cstheme="minorHAnsi"/>
                <w:b/>
                <w:bCs/>
                <w:smallCaps/>
                <w:szCs w:val="22"/>
                <w:highlight w:val="darkGray"/>
                <w:u w:val="single"/>
                <w:lang w:val="en"/>
              </w:rPr>
              <w:t xml:space="preserve">name</w:t>
            </w:r>
            <w:commentRangeEnd w:id="1"/>
            <w:r>
              <w:commentReference w:id="1"/>
            </w:r>
            <w:r/>
            <w:r>
              <w:rPr>
                <w:rFonts w:asciiTheme="minorHAnsi" w:hAnsiTheme="minorHAnsi" w:cstheme="minorHAnsi"/>
                <w:b/>
                <w:smallCaps/>
                <w:szCs w:val="22"/>
                <w:highlight w:val="darkGray"/>
                <w:u w:val="single"/>
                <w:lang w:val="en-GB"/>
              </w:rPr>
            </w:r>
          </w:p>
          <w:p>
            <w:pPr>
              <w:pStyle w:val="1242"/>
              <w:widowControl w:val="false"/>
              <w:pBdr/>
              <w:spacing/>
              <w:ind/>
              <w:rPr>
                <w:rFonts w:asciiTheme="minorHAnsi" w:hAnsiTheme="minorHAnsi" w:cstheme="minorHAnsi"/>
                <w:szCs w:val="22"/>
                <w:highlight w:val="white"/>
                <w:lang w:val="en-GB"/>
              </w:rPr>
            </w:pPr>
            <w:r>
              <w:rPr>
                <w:rFonts w:asciiTheme="minorHAnsi" w:hAnsiTheme="minorHAnsi" w:cstheme="minorHAnsi"/>
                <w:szCs w:val="22"/>
                <w:highlight w:val="white"/>
                <w:lang w:val="en"/>
              </w:rPr>
              <w:t xml:space="preserve">(Hereafter the “</w:t>
            </w:r>
            <w:r>
              <w:rPr>
                <w:rFonts w:asciiTheme="minorHAnsi" w:hAnsiTheme="minorHAnsi" w:cstheme="minorHAnsi"/>
                <w:smallCaps/>
                <w:szCs w:val="22"/>
                <w:highlight w:val="white"/>
                <w:lang w:val="en"/>
              </w:rPr>
              <w:t xml:space="preserve">Contractor”</w:t>
            </w:r>
            <w:r>
              <w:rPr>
                <w:rFonts w:asciiTheme="minorHAnsi" w:hAnsiTheme="minorHAnsi" w:cstheme="minorHAnsi"/>
                <w:szCs w:val="22"/>
                <w:highlight w:val="white"/>
                <w:lang w:val="en"/>
              </w:rPr>
              <w:t xml:space="preserve">)</w:t>
            </w:r>
            <w:r>
              <w:rPr>
                <w:rFonts w:asciiTheme="minorHAnsi" w:hAnsiTheme="minorHAnsi" w:cstheme="minorHAnsi"/>
                <w:szCs w:val="22"/>
                <w:highlight w:val="white"/>
                <w:lang w:val="en-GB"/>
              </w:rPr>
            </w:r>
          </w:p>
          <w:p>
            <w:pPr>
              <w:pStyle w:val="1242"/>
              <w:widowControl w:val="false"/>
              <w:numPr>
                <w:ilvl w:val="0"/>
                <w:numId w:val="2"/>
              </w:numPr>
              <w:pBdr/>
              <w:tabs>
                <w:tab w:val="clear" w:leader="none" w:pos="360"/>
                <w:tab w:val="num" w:leader="none" w:pos="1134"/>
              </w:tabs>
              <w:spacing/>
              <w:ind w:left="1134"/>
              <w:rPr>
                <w:rFonts w:asciiTheme="minorHAnsi" w:hAnsiTheme="minorHAnsi" w:cstheme="minorHAnsi"/>
                <w:szCs w:val="22"/>
                <w:highlight w:val="white"/>
              </w:rPr>
            </w:pPr>
            <w:r>
              <w:rPr>
                <w:rFonts w:asciiTheme="minorHAnsi" w:hAnsiTheme="minorHAnsi" w:cstheme="minorHAnsi"/>
                <w:szCs w:val="22"/>
                <w:highlight w:val="white"/>
                <w:lang w:val="en"/>
              </w:rPr>
              <w:t xml:space="preserve">Registered office address: </w:t>
            </w:r>
            <w:r>
              <w:rPr>
                <w:rFonts w:asciiTheme="minorHAnsi" w:hAnsiTheme="minorHAnsi" w:cstheme="minorHAnsi"/>
                <w:szCs w:val="22"/>
                <w:highlight w:val="darkGray"/>
                <w:lang w:val="en"/>
              </w:rPr>
              <w:t xml:space="preserve">XXXXXXX</w:t>
            </w:r>
            <w:r>
              <w:rPr>
                <w:rFonts w:asciiTheme="minorHAnsi" w:hAnsiTheme="minorHAnsi" w:cstheme="minorHAnsi"/>
                <w:szCs w:val="22"/>
                <w:highlight w:val="white"/>
              </w:rPr>
            </w:r>
          </w:p>
          <w:p>
            <w:pPr>
              <w:pStyle w:val="1242"/>
              <w:widowControl w:val="false"/>
              <w:numPr>
                <w:ilvl w:val="0"/>
                <w:numId w:val="2"/>
              </w:numPr>
              <w:pBdr/>
              <w:tabs>
                <w:tab w:val="clear" w:leader="none" w:pos="360"/>
                <w:tab w:val="num" w:leader="none" w:pos="1134"/>
              </w:tabs>
              <w:spacing/>
              <w:ind w:left="1134"/>
              <w:rPr>
                <w:rFonts w:asciiTheme="minorHAnsi" w:hAnsiTheme="minorHAnsi" w:cstheme="minorHAnsi"/>
                <w:szCs w:val="22"/>
                <w:highlight w:val="white"/>
                <w:lang w:val="en-GB"/>
              </w:rPr>
            </w:pPr>
            <w:r>
              <w:rPr>
                <w:rFonts w:asciiTheme="minorHAnsi" w:hAnsiTheme="minorHAnsi" w:cstheme="minorHAnsi"/>
                <w:szCs w:val="22"/>
                <w:highlight w:val="white"/>
                <w:lang w:val="en"/>
              </w:rPr>
              <w:t xml:space="preserve">Registration number at the trade and companies registry: </w:t>
            </w:r>
            <w:r>
              <w:rPr>
                <w:rFonts w:asciiTheme="minorHAnsi" w:hAnsiTheme="minorHAnsi" w:cstheme="minorHAnsi"/>
                <w:szCs w:val="22"/>
                <w:highlight w:val="darkGray"/>
                <w:lang w:val="en"/>
              </w:rPr>
              <w:t xml:space="preserve">XXXXXXXX</w:t>
            </w:r>
            <w:r>
              <w:rPr>
                <w:rFonts w:asciiTheme="minorHAnsi" w:hAnsiTheme="minorHAnsi" w:cstheme="minorHAnsi"/>
                <w:szCs w:val="22"/>
                <w:highlight w:val="white"/>
                <w:lang w:val="en-GB"/>
              </w:rPr>
            </w:r>
          </w:p>
          <w:p>
            <w:pPr>
              <w:pStyle w:val="1242"/>
              <w:widowControl w:val="false"/>
              <w:numPr>
                <w:ilvl w:val="0"/>
                <w:numId w:val="2"/>
              </w:numPr>
              <w:pBdr/>
              <w:tabs>
                <w:tab w:val="clear" w:leader="none" w:pos="360"/>
                <w:tab w:val="num" w:leader="none" w:pos="1134"/>
              </w:tabs>
              <w:spacing/>
              <w:ind w:left="1134"/>
              <w:rPr>
                <w:rFonts w:asciiTheme="minorHAnsi" w:hAnsiTheme="minorHAnsi" w:cstheme="minorHAnsi"/>
                <w:szCs w:val="22"/>
                <w:highlight w:val="white"/>
                <w:lang w:val="en-GB"/>
              </w:rPr>
            </w:pPr>
            <w:r>
              <w:rPr>
                <w:rFonts w:asciiTheme="minorHAnsi" w:hAnsiTheme="minorHAnsi" w:cstheme="minorHAnsi"/>
                <w:szCs w:val="22"/>
                <w:highlight w:val="white"/>
                <w:lang w:val="en-GB"/>
              </w:rPr>
              <w:t xml:space="preserve">I</w:t>
            </w:r>
            <w:r>
              <w:rPr>
                <w:rFonts w:asciiTheme="minorHAnsi" w:hAnsiTheme="minorHAnsi" w:cstheme="minorHAnsi"/>
                <w:szCs w:val="22"/>
                <w:highlight w:val="white"/>
                <w:lang w:val="en"/>
              </w:rPr>
              <w:t xml:space="preserve">ntra-community VAT no. (as applicable): </w:t>
            </w:r>
            <w:r>
              <w:rPr>
                <w:rFonts w:asciiTheme="minorHAnsi" w:hAnsiTheme="minorHAnsi" w:cstheme="minorHAnsi"/>
                <w:szCs w:val="22"/>
                <w:highlight w:val="darkGray"/>
                <w:lang w:val="en"/>
              </w:rPr>
              <w:t xml:space="preserve">XXXXXXX</w:t>
            </w:r>
            <w:r>
              <w:rPr>
                <w:rFonts w:asciiTheme="minorHAnsi" w:hAnsiTheme="minorHAnsi" w:cstheme="minorHAnsi"/>
                <w:szCs w:val="22"/>
                <w:highlight w:val="white"/>
                <w:lang w:val="en-GB"/>
              </w:rPr>
            </w:r>
          </w:p>
          <w:p>
            <w:pPr>
              <w:pStyle w:val="1242"/>
              <w:widowControl w:val="false"/>
              <w:pBdr/>
              <w:tabs>
                <w:tab w:val="left" w:leader="none" w:pos="4284"/>
              </w:tabs>
              <w:spacing/>
              <w:ind/>
              <w:rPr>
                <w:rFonts w:asciiTheme="minorHAnsi" w:hAnsiTheme="minorHAnsi" w:cstheme="minorHAnsi"/>
                <w:szCs w:val="22"/>
                <w:highlight w:val="white"/>
                <w:lang w:val="en-GB"/>
              </w:rPr>
            </w:pPr>
            <w:r>
              <w:rPr>
                <w:rFonts w:asciiTheme="minorHAnsi" w:hAnsiTheme="minorHAnsi" w:cstheme="minorHAnsi"/>
                <w:szCs w:val="22"/>
                <w:highlight w:val="white"/>
                <w:lang w:val="en-GB"/>
              </w:rPr>
            </w:r>
            <w:r>
              <w:rPr>
                <w:rFonts w:asciiTheme="minorHAnsi" w:hAnsiTheme="minorHAnsi" w:cstheme="minorHAnsi"/>
                <w:szCs w:val="22"/>
                <w:highlight w:val="white"/>
                <w:lang w:val="en-GB"/>
              </w:rPr>
            </w:r>
          </w:p>
          <w:p>
            <w:pPr>
              <w:pStyle w:val="1242"/>
              <w:widowControl w:val="false"/>
              <w:pBdr/>
              <w:tabs>
                <w:tab w:val="left" w:leader="none" w:pos="4284"/>
              </w:tabs>
              <w:spacing/>
              <w:ind/>
              <w:rPr>
                <w:rFonts w:asciiTheme="minorHAnsi" w:hAnsiTheme="minorHAnsi" w:cstheme="minorHAnsi"/>
                <w:szCs w:val="22"/>
                <w:lang w:val="en-GB"/>
              </w:rPr>
            </w:pPr>
            <w:r>
              <w:rPr>
                <w:rFonts w:asciiTheme="minorHAnsi" w:hAnsiTheme="minorHAnsi" w:cstheme="minorHAnsi"/>
                <w:szCs w:val="22"/>
                <w:highlight w:val="white"/>
                <w:lang w:val="en"/>
              </w:rPr>
              <w:t xml:space="preserve">Represented by:</w:t>
            </w:r>
            <w:r>
              <w:rPr>
                <w:rFonts w:asciiTheme="minorHAnsi" w:hAnsiTheme="minorHAnsi" w:cstheme="minorHAnsi"/>
                <w:szCs w:val="22"/>
                <w:highlight w:val="darkGray"/>
                <w:lang w:val="en"/>
              </w:rPr>
              <w:t xml:space="preserve">XXXXXXXX</w:t>
            </w:r>
            <w:r>
              <w:rPr>
                <w:rFonts w:asciiTheme="minorHAnsi" w:hAnsiTheme="minorHAnsi" w:cstheme="minorHAnsi"/>
                <w:szCs w:val="22"/>
                <w:lang w:val="en"/>
              </w:rPr>
              <w:tab/>
            </w:r>
            <w:r>
              <w:rPr>
                <w:rFonts w:asciiTheme="minorHAnsi" w:hAnsiTheme="minorHAnsi" w:cstheme="minorHAnsi"/>
                <w:szCs w:val="22"/>
                <w:lang w:val="en-GB"/>
              </w:rPr>
            </w:r>
          </w:p>
          <w:p>
            <w:pPr>
              <w:pBdr/>
              <w:spacing/>
              <w:ind/>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 xml:space="preserve">of the second part,</w:t>
            </w:r>
            <w:r>
              <w:rPr>
                <w:rFonts w:asciiTheme="minorHAnsi" w:hAnsiTheme="minorHAnsi" w:cstheme="minorHAnsi"/>
                <w:b/>
                <w:bCs/>
                <w:sz w:val="22"/>
                <w:szCs w:val="22"/>
                <w:u w:val="single"/>
                <w:lang w:val="en-GB"/>
              </w:rPr>
            </w:r>
          </w:p>
          <w:p>
            <w:pPr>
              <w:pBdr/>
              <w:spacing/>
              <w:ind/>
              <w:jc w:val="both"/>
              <w:rPr>
                <w:rFonts w:asciiTheme="minorHAnsi" w:hAnsiTheme="minorHAnsi"/>
                <w:lang w:val="en-GB"/>
              </w:rPr>
            </w:pPr>
            <w:r>
              <w:rPr>
                <w:rFonts w:asciiTheme="minorHAnsi" w:hAnsiTheme="minorHAnsi"/>
                <w:lang w:val="en-GB"/>
              </w:rPr>
            </w:r>
            <w:r>
              <w:rPr>
                <w:rFonts w:asciiTheme="minorHAnsi" w:hAnsiTheme="minorHAnsi"/>
                <w:lang w:val="en-GB"/>
              </w:rPr>
            </w:r>
          </w:p>
        </w:tc>
      </w:tr>
    </w:tbl>
    <w:p>
      <w:pPr>
        <w:pStyle w:val="1242"/>
        <w:widowControl w:val="false"/>
        <w:pBdr/>
        <w:spacing w:before="240"/>
        <w:ind/>
        <w:rPr>
          <w:rFonts w:asciiTheme="minorHAnsi" w:hAnsiTheme="minorHAnsi" w:cstheme="minorHAnsi"/>
          <w:lang w:val="en-GB"/>
        </w:rPr>
      </w:pPr>
      <w:r>
        <w:rPr>
          <w:rFonts w:asciiTheme="minorHAnsi" w:hAnsiTheme="minorHAnsi" w:cstheme="minorHAnsi"/>
          <w:lang w:val="en"/>
        </w:rPr>
        <w:t xml:space="preserve">(Hereafter referred to collectively as the “</w:t>
      </w:r>
      <w:r>
        <w:rPr>
          <w:rFonts w:asciiTheme="minorHAnsi" w:hAnsiTheme="minorHAnsi" w:cstheme="minorHAnsi"/>
          <w:smallCaps/>
          <w:lang w:val="en"/>
        </w:rPr>
        <w:t xml:space="preserve">Parties</w:t>
      </w:r>
      <w:r>
        <w:rPr>
          <w:rFonts w:asciiTheme="minorHAnsi" w:hAnsiTheme="minorHAnsi" w:cstheme="minorHAnsi"/>
          <w:lang w:val="en"/>
        </w:rPr>
        <w:t xml:space="preserve">“)</w:t>
      </w:r>
      <w:r>
        <w:rPr>
          <w:rFonts w:asciiTheme="minorHAnsi" w:hAnsiTheme="minorHAnsi" w:cstheme="minorHAnsi"/>
          <w:lang w:val="en-GB"/>
        </w:rPr>
      </w:r>
    </w:p>
    <w:p>
      <w:pPr>
        <w:widowControl w:val="false"/>
        <w:pBdr/>
        <w:spacing w:before="120"/>
        <w:ind/>
        <w:rPr>
          <w:rFonts w:asciiTheme="minorHAnsi" w:hAnsiTheme="minorHAnsi" w:cstheme="minorHAnsi"/>
          <w:b/>
          <w:sz w:val="22"/>
          <w:lang w:val="en-GB"/>
        </w:rPr>
      </w:pPr>
      <w:r>
        <w:rPr>
          <w:rFonts w:asciiTheme="minorHAnsi" w:hAnsiTheme="minorHAnsi" w:cstheme="minorHAnsi"/>
          <w:b/>
          <w:bCs/>
          <w:sz w:val="22"/>
          <w:lang w:val="en"/>
        </w:rPr>
        <w:t xml:space="preserve">Whereas:</w:t>
      </w:r>
      <w:r>
        <w:rPr>
          <w:rFonts w:asciiTheme="minorHAnsi" w:hAnsiTheme="minorHAnsi" w:cstheme="minorHAnsi"/>
          <w:b/>
          <w:sz w:val="22"/>
          <w:lang w:val="en-GB"/>
        </w:rPr>
      </w:r>
    </w:p>
    <w:p>
      <w:pPr>
        <w:pStyle w:val="1290"/>
        <w:pBdr/>
        <w:spacing w:before="120"/>
        <w:ind/>
        <w:jc w:val="both"/>
        <w:rPr>
          <w:rFonts w:ascii="Calibri" w:hAnsi="Calibri" w:eastAsia="Calibri" w:cs="Calibri"/>
          <w:sz w:val="22"/>
          <w:szCs w:val="22"/>
          <w:lang w:val="en-GB"/>
        </w:rPr>
      </w:pPr>
      <w:r>
        <w:rPr>
          <w:rFonts w:ascii="Calibri" w:hAnsi="Calibri"/>
          <w:sz w:val="22"/>
          <w:szCs w:val="22"/>
          <w:lang w:val="en-US"/>
        </w:rPr>
        <w:t xml:space="preserve">In the context of the cooperation project, hereafter the “</w:t>
      </w:r>
      <w:r>
        <w:rPr>
          <w:rFonts w:ascii="Calibri" w:hAnsi="Calibri"/>
          <w:smallCaps/>
          <w:sz w:val="22"/>
          <w:szCs w:val="22"/>
          <w:lang w:val="en-US"/>
        </w:rPr>
        <w:t xml:space="preserve">Main Contract”</w:t>
      </w:r>
      <w:r>
        <w:rPr>
          <w:rFonts w:ascii="Calibri" w:hAnsi="Calibri"/>
          <w:sz w:val="22"/>
          <w:szCs w:val="22"/>
          <w:lang w:val="en-US"/>
        </w:rPr>
        <w:t xml:space="preserve"> (donor contract) signed o</w:t>
      </w:r>
      <w:r>
        <w:rPr>
          <w:rFonts w:ascii="Calibri" w:hAnsi="Calibri"/>
          <w:sz w:val="22"/>
          <w:szCs w:val="22"/>
          <w:lang w:val="en-GB"/>
        </w:rPr>
        <w:t xml:space="preserve">n 21/12/2022 </w:t>
      </w:r>
      <w:r>
        <w:rPr>
          <w:rFonts w:ascii="Calibri" w:hAnsi="Calibri"/>
          <w:sz w:val="22"/>
          <w:szCs w:val="22"/>
          <w:lang w:val="en-US"/>
        </w:rPr>
        <w:t xml:space="preserve">betwee</w:t>
      </w:r>
      <w:r>
        <w:rPr>
          <w:rFonts w:ascii="Calibri" w:hAnsi="Calibri"/>
          <w:sz w:val="22"/>
          <w:szCs w:val="22"/>
          <w:lang w:val="en-GB"/>
        </w:rPr>
        <w:t xml:space="preserve">n </w:t>
      </w:r>
      <w:r>
        <w:rPr>
          <w:rFonts w:ascii="Calibri" w:hAnsi="Calibri"/>
          <w:i/>
          <w:iCs/>
          <w:sz w:val="22"/>
          <w:szCs w:val="22"/>
          <w:lang w:val="en-GB"/>
        </w:rPr>
        <w:t xml:space="preserve">Expertise France </w:t>
      </w:r>
      <w:r>
        <w:rPr>
          <w:rFonts w:ascii="Calibri" w:hAnsi="Calibri"/>
          <w:sz w:val="22"/>
          <w:szCs w:val="22"/>
          <w:lang w:val="en-US"/>
        </w:rPr>
        <w:t xml:space="preserve">a</w:t>
      </w:r>
      <w:r>
        <w:rPr>
          <w:rFonts w:ascii="Calibri" w:hAnsi="Calibri"/>
          <w:sz w:val="22"/>
          <w:szCs w:val="22"/>
          <w:lang w:val="en-GB"/>
        </w:rPr>
        <w:t xml:space="preserve">nd the </w:t>
      </w:r>
      <w:r>
        <w:rPr>
          <w:rFonts w:ascii="Calibri" w:hAnsi="Calibri"/>
          <w:i/>
          <w:iCs/>
          <w:sz w:val="22"/>
          <w:szCs w:val="22"/>
          <w:lang w:val="en-GB"/>
        </w:rPr>
        <w:t xml:space="preserve">European Commission </w:t>
      </w:r>
      <w:r>
        <w:rPr>
          <w:rFonts w:ascii="Calibri" w:hAnsi="Calibri"/>
          <w:sz w:val="22"/>
          <w:szCs w:val="22"/>
          <w:lang w:val="en-US"/>
        </w:rPr>
        <w:t xml:space="preserve">covering “</w:t>
      </w:r>
      <w:r>
        <w:rPr>
          <w:rFonts w:ascii="Calibri" w:hAnsi="Calibri"/>
          <w:i/>
          <w:iCs/>
          <w:sz w:val="22"/>
          <w:szCs w:val="22"/>
          <w:lang w:val="en-GB"/>
        </w:rPr>
        <w:t xml:space="preserve">Latin America and Caribbean Green Transition Initiative (EUROCLIMA LAC)</w:t>
      </w:r>
      <w:r>
        <w:rPr>
          <w:rFonts w:ascii="Calibri" w:hAnsi="Calibri"/>
          <w:sz w:val="22"/>
          <w:szCs w:val="22"/>
          <w:lang w:val="en-US"/>
        </w:rPr>
        <w:t xml:space="preserve">“, </w:t>
      </w:r>
      <w:r>
        <w:rPr>
          <w:rFonts w:ascii="Calibri" w:hAnsi="Calibri"/>
          <w:smallCaps/>
          <w:lang w:val="en-US"/>
        </w:rPr>
        <w:t xml:space="preserve">E</w:t>
      </w:r>
      <w:r>
        <w:rPr>
          <w:rFonts w:ascii="Calibri" w:hAnsi="Calibri"/>
          <w:smallCaps/>
          <w:sz w:val="22"/>
          <w:szCs w:val="22"/>
          <w:lang w:val="en-US"/>
        </w:rPr>
        <w:t xml:space="preserve">xpertise </w:t>
      </w:r>
      <w:r>
        <w:rPr>
          <w:rFonts w:ascii="Calibri" w:hAnsi="Calibri"/>
          <w:smallCaps/>
          <w:lang w:val="en-US"/>
        </w:rPr>
        <w:t xml:space="preserve">F</w:t>
      </w:r>
      <w:r>
        <w:rPr>
          <w:rFonts w:ascii="Calibri" w:hAnsi="Calibri"/>
          <w:smallCaps/>
          <w:sz w:val="22"/>
          <w:szCs w:val="22"/>
          <w:lang w:val="en-US"/>
        </w:rPr>
        <w:t xml:space="preserve">rance </w:t>
      </w:r>
      <w:r>
        <w:rPr>
          <w:rFonts w:ascii="Calibri" w:hAnsi="Calibri"/>
          <w:sz w:val="22"/>
          <w:szCs w:val="22"/>
          <w:lang w:val="en-US"/>
        </w:rPr>
        <w:t xml:space="preserve">asks the </w:t>
      </w:r>
      <w:r>
        <w:rPr>
          <w:rFonts w:ascii="Calibri" w:hAnsi="Calibri"/>
          <w:smallCaps/>
          <w:sz w:val="22"/>
          <w:szCs w:val="22"/>
          <w:lang w:val="en-US"/>
        </w:rPr>
        <w:t xml:space="preserve">Contractor</w:t>
      </w:r>
      <w:r>
        <w:rPr>
          <w:rFonts w:ascii="Calibri" w:hAnsi="Calibri"/>
          <w:sz w:val="22"/>
          <w:szCs w:val="22"/>
          <w:lang w:val="en-US"/>
        </w:rPr>
        <w:t xml:space="preserve">, which accepts the same, to perform the services and deliver the services under the </w:t>
      </w:r>
      <w:r>
        <w:rPr>
          <w:rFonts w:ascii="Calibri" w:hAnsi="Calibri"/>
          <w:smallCaps/>
          <w:sz w:val="22"/>
          <w:szCs w:val="22"/>
          <w:lang w:val="en-US"/>
        </w:rPr>
        <w:t xml:space="preserve">Contract </w:t>
      </w:r>
      <w:r>
        <w:rPr>
          <w:rFonts w:ascii="Calibri" w:hAnsi="Calibri"/>
          <w:sz w:val="22"/>
          <w:szCs w:val="22"/>
          <w:lang w:val="en-US"/>
        </w:rPr>
        <w:t xml:space="preserve">as set out in the attached technical annex entitled “Specifications”.</w:t>
      </w:r>
      <w:r>
        <w:rPr>
          <w:rFonts w:ascii="Calibri" w:hAnsi="Calibri" w:eastAsia="Calibri" w:cs="Calibri"/>
          <w:sz w:val="22"/>
          <w:szCs w:val="22"/>
          <w:lang w:val="en-GB"/>
        </w:rPr>
      </w:r>
    </w:p>
    <w:p>
      <w:pPr>
        <w:pBdr/>
        <w:spacing w:before="240"/>
        <w:ind/>
        <w:jc w:val="right"/>
        <w:rPr>
          <w:rFonts w:cs="Arial" w:asciiTheme="minorHAnsi" w:hAnsiTheme="minorHAnsi"/>
          <w:b/>
          <w:sz w:val="22"/>
          <w:lang w:val="en-GB"/>
        </w:rPr>
      </w:pPr>
      <w:r>
        <w:rPr>
          <w:rFonts w:cs="Arial" w:asciiTheme="minorHAnsi" w:hAnsiTheme="minorHAnsi"/>
          <w:b/>
          <w:bCs/>
          <w:sz w:val="22"/>
          <w:lang w:val="en"/>
        </w:rPr>
        <w:t xml:space="preserve">In the light of the foregoing, the following is agreed:</w:t>
      </w:r>
      <w:r>
        <w:rPr>
          <w:rFonts w:cs="Arial" w:asciiTheme="minorHAnsi" w:hAnsiTheme="minorHAnsi"/>
          <w:b/>
          <w:sz w:val="22"/>
          <w:lang w:val="en-GB"/>
        </w:rPr>
      </w:r>
    </w:p>
    <w:p>
      <w:pPr>
        <w:pBdr/>
        <w:spacing w:before="120" w:line="240" w:lineRule="auto"/>
        <w:ind/>
        <w:rPr>
          <w:rFonts w:cs="Arial" w:asciiTheme="minorHAnsi" w:hAnsiTheme="minorHAnsi"/>
          <w:lang w:val="en-GB"/>
        </w:rPr>
      </w:pPr>
      <w:r>
        <w:rPr>
          <w:rFonts w:asciiTheme="minorHAnsi" w:hAnsiTheme="minorHAnsi"/>
          <w:b/>
          <w:bCs/>
          <w:caps/>
          <w:lang w:val="en"/>
        </w:rPr>
        <w:br w:type="page" w:clear="all"/>
      </w:r>
      <w:r>
        <w:rPr>
          <w:rFonts w:cs="Arial" w:asciiTheme="minorHAnsi" w:hAnsiTheme="minorHAnsi"/>
          <w:lang w:val="en-GB"/>
        </w:rPr>
      </w:r>
    </w:p>
    <w:p>
      <w:pPr>
        <w:pStyle w:val="1244"/>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7" w:name="_Toc216881446"/>
      <w:r>
        <w:rPr>
          <w:rFonts w:asciiTheme="minorHAnsi" w:hAnsiTheme="minorHAnsi"/>
          <w:b/>
          <w:bCs/>
          <w:caps/>
          <w:sz w:val="24"/>
          <w:u w:val="single"/>
          <w:lang w:val="en"/>
        </w:rPr>
        <w:t xml:space="preserve">Object of the contract</w:t>
      </w:r>
      <w:bookmarkEnd w:id="7"/>
      <w:r/>
      <w:r>
        <w:rPr>
          <w:rFonts w:asciiTheme="minorHAnsi" w:hAnsiTheme="minorHAnsi"/>
          <w:b/>
          <w:caps/>
          <w:sz w:val="24"/>
          <w:u w:val="single"/>
        </w:rPr>
      </w:r>
    </w:p>
    <w:p>
      <w:pPr>
        <w:pStyle w:val="1243"/>
        <w:widowControl w:val="false"/>
        <w:pBdr/>
        <w:spacing w:before="240"/>
        <w:ind w:left="561"/>
        <w:rPr>
          <w:rFonts w:cs="Arial" w:asciiTheme="minorHAnsi" w:hAnsiTheme="minorHAnsi"/>
          <w:lang w:val="pt-BR"/>
        </w:rPr>
      </w:pPr>
      <w:r>
        <w:rPr>
          <w:rFonts w:cs="Arial" w:asciiTheme="minorHAnsi" w:hAnsiTheme="minorHAnsi"/>
          <w:lang w:val="en-US"/>
        </w:rPr>
        <w:t xml:space="preserve">The object of this contract (hereafter the “</w:t>
      </w:r>
      <w:r>
        <w:rPr>
          <w:rFonts w:cs="Arial" w:asciiTheme="minorHAnsi" w:hAnsiTheme="minorHAnsi"/>
          <w:smallCaps/>
          <w:lang w:val="en-US"/>
        </w:rPr>
        <w:t xml:space="preserve">Contract</w:t>
      </w:r>
      <w:r>
        <w:rPr>
          <w:rFonts w:cs="Arial" w:asciiTheme="minorHAnsi" w:hAnsiTheme="minorHAnsi"/>
          <w:lang w:val="en-US"/>
        </w:rPr>
        <w:t xml:space="preserve">) is « Contributing to the reduction of climate disaster risks, in coordination with the different actors involved in climate risk management – Pilot project in Cruzeiro do sul Municipality, Grande do Sul</w:t>
      </w:r>
      <w:r>
        <w:rPr>
          <w:rFonts w:ascii="Calibri" w:hAnsi="Calibri"/>
          <w:lang w:val="en-US"/>
        </w:rPr>
        <w:t xml:space="preserve">" of Prioritized Action 1, of the Second Country Action Plan between Brazil and the Euroclima Program.</w:t>
      </w:r>
      <w:r>
        <w:rPr>
          <w:rFonts w:cs="Arial" w:asciiTheme="minorHAnsi" w:hAnsiTheme="minorHAnsi"/>
          <w:lang w:val="en-US"/>
        </w:rPr>
        <w:t xml:space="preserve"> </w:t>
      </w:r>
      <w:r>
        <w:rPr>
          <w:rFonts w:cs="Arial" w:asciiTheme="minorHAnsi" w:hAnsiTheme="minorHAnsi"/>
          <w:lang w:val="pt-BR"/>
        </w:rPr>
        <w:t xml:space="preserve">(“</w:t>
      </w:r>
      <w:r>
        <w:rPr>
          <w:rFonts w:cs="Arial" w:asciiTheme="minorHAnsi" w:hAnsiTheme="minorHAnsi"/>
          <w:i/>
          <w:iCs/>
          <w:lang w:val="pt-BR"/>
        </w:rPr>
        <w:t xml:space="preserve">Contribuir à redução dos riscos de desastres climáticos, em coordenação entre os diferentes atores envolvidos na gestão do risco climático – Projeto piloto no município de Cruzeiro do Sul, Rio Grande do Sul”</w:t>
      </w:r>
      <w:r>
        <w:rPr>
          <w:rFonts w:cs="Arial" w:asciiTheme="minorHAnsi" w:hAnsiTheme="minorHAnsi"/>
          <w:lang w:val="pt-BR"/>
        </w:rPr>
        <w:t xml:space="preserve">)</w:t>
      </w:r>
      <w:r>
        <w:rPr>
          <w:rFonts w:cs="Arial" w:asciiTheme="minorHAnsi" w:hAnsiTheme="minorHAnsi"/>
          <w:lang w:val="pt-BR"/>
        </w:rPr>
      </w:r>
    </w:p>
    <w:p>
      <w:pPr>
        <w:pStyle w:val="1244"/>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8" w:name="_Toc216881447"/>
      <w:r>
        <w:rPr>
          <w:rFonts w:asciiTheme="minorHAnsi" w:hAnsiTheme="minorHAnsi"/>
          <w:b/>
          <w:bCs/>
          <w:caps/>
          <w:sz w:val="24"/>
          <w:u w:val="single"/>
          <w:lang w:val="en"/>
        </w:rPr>
        <w:t xml:space="preserve">Contractual documents</w:t>
      </w:r>
      <w:bookmarkEnd w:id="8"/>
      <w:r/>
      <w:r>
        <w:rPr>
          <w:rFonts w:asciiTheme="minorHAnsi" w:hAnsiTheme="minorHAnsi"/>
          <w:b/>
          <w:caps/>
          <w:sz w:val="24"/>
          <w:u w:val="single"/>
        </w:rPr>
      </w:r>
    </w:p>
    <w:p>
      <w:pPr>
        <w:pStyle w:val="1244"/>
        <w:widowControl w:val="false"/>
        <w:pBdr/>
        <w:spacing w:before="120"/>
        <w:ind w:firstLine="0" w:left="555"/>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is composed of the contractual documents set out below in decreasing order of priority:</w:t>
      </w:r>
      <w:r>
        <w:rPr>
          <w:rFonts w:asciiTheme="minorHAnsi" w:hAnsiTheme="minorHAnsi" w:cstheme="minorHAnsi"/>
          <w:szCs w:val="22"/>
          <w:lang w:val="en-GB"/>
        </w:rPr>
      </w:r>
    </w:p>
    <w:p>
      <w:pPr>
        <w:pStyle w:val="1246"/>
        <w:widowControl w:val="false"/>
        <w:numPr>
          <w:ilvl w:val="0"/>
          <w:numId w:val="13"/>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This document and its annexes:</w:t>
      </w:r>
      <w:r>
        <w:rPr>
          <w:rFonts w:asciiTheme="minorHAnsi" w:hAnsiTheme="minorHAnsi" w:cstheme="minorHAnsi"/>
          <w:szCs w:val="22"/>
          <w:lang w:val="en-GB"/>
        </w:rPr>
      </w:r>
    </w:p>
    <w:p>
      <w:pPr>
        <w:pStyle w:val="1246"/>
        <w:widowControl w:val="false"/>
        <w:numPr>
          <w:ilvl w:val="0"/>
          <w:numId w:val="7"/>
        </w:numPr>
        <w:pBdr/>
        <w:tabs>
          <w:tab w:val="clear" w:leader="none" w:pos="994"/>
          <w:tab w:val="num" w:leader="none" w:pos="1701"/>
        </w:tabs>
        <w:spacing w:before="120"/>
        <w:ind w:left="1701"/>
        <w:jc w:val="left"/>
        <w:rPr>
          <w:rFonts w:asciiTheme="minorHAnsi" w:hAnsiTheme="minorHAnsi" w:cstheme="minorHAnsi"/>
          <w:szCs w:val="22"/>
        </w:rPr>
      </w:pPr>
      <w:r>
        <w:rPr>
          <w:rFonts w:asciiTheme="minorHAnsi" w:hAnsiTheme="minorHAnsi" w:cstheme="minorHAnsi"/>
          <w:szCs w:val="22"/>
          <w:lang w:val="en"/>
        </w:rPr>
        <w:t xml:space="preserve">Annex 1 attached: Specifications;</w:t>
      </w:r>
      <w:r>
        <w:rPr>
          <w:rFonts w:asciiTheme="minorHAnsi" w:hAnsiTheme="minorHAnsi" w:cstheme="minorHAnsi"/>
          <w:szCs w:val="22"/>
        </w:rPr>
      </w:r>
    </w:p>
    <w:p>
      <w:pPr>
        <w:pStyle w:val="1246"/>
        <w:widowControl w:val="false"/>
        <w:numPr>
          <w:ilvl w:val="0"/>
          <w:numId w:val="7"/>
        </w:numPr>
        <w:pBdr/>
        <w:spacing w:before="120"/>
        <w:ind w:left="1701"/>
        <w:jc w:val="left"/>
        <w:rPr>
          <w:rFonts w:ascii="Calibri" w:hAnsi="Calibri"/>
          <w:lang w:val="en-US"/>
        </w:rPr>
      </w:pPr>
      <w:r>
        <w:rPr>
          <w:rFonts w:asciiTheme="minorHAnsi" w:hAnsiTheme="minorHAnsi" w:cstheme="minorHAnsi"/>
          <w:szCs w:val="22"/>
          <w:lang w:val="en"/>
        </w:rPr>
        <w:t xml:space="preserve">Annex</w:t>
      </w:r>
      <w:r>
        <w:rPr>
          <w:rFonts w:ascii="Calibri" w:hAnsi="Calibri"/>
          <w:lang w:val="es-ES_tradnl"/>
        </w:rPr>
        <w:t xml:space="preserve"> 2: Technical offer;</w:t>
      </w:r>
      <w:r>
        <w:rPr>
          <w:rFonts w:ascii="Calibri" w:hAnsi="Calibri"/>
          <w:lang w:val="en-US"/>
        </w:rPr>
      </w:r>
    </w:p>
    <w:p>
      <w:pPr>
        <w:pStyle w:val="1246"/>
        <w:widowControl w:val="false"/>
        <w:numPr>
          <w:ilvl w:val="0"/>
          <w:numId w:val="7"/>
        </w:numPr>
        <w:pBdr/>
        <w:spacing w:before="120"/>
        <w:ind w:left="1701"/>
        <w:jc w:val="left"/>
        <w:rPr>
          <w:rFonts w:ascii="Calibri" w:hAnsi="Calibri"/>
          <w:lang w:val="en-US"/>
        </w:rPr>
      </w:pPr>
      <w:r>
        <w:rPr>
          <w:rFonts w:ascii="Calibri" w:hAnsi="Calibri"/>
          <w:lang w:val="es-ES_tradnl"/>
        </w:rPr>
        <w:t xml:space="preserve">Annex 3: Financial offer </w:t>
      </w:r>
      <w:r>
        <w:rPr>
          <w:rFonts w:ascii="Calibri" w:hAnsi="Calibri"/>
          <w:lang w:val="en-US"/>
        </w:rPr>
      </w:r>
    </w:p>
    <w:p>
      <w:pPr>
        <w:pStyle w:val="1270"/>
        <w:numPr>
          <w:ilvl w:val="0"/>
          <w:numId w:val="7"/>
        </w:numPr>
        <w:pBdr/>
        <w:tabs>
          <w:tab w:val="clear" w:leader="none" w:pos="994"/>
          <w:tab w:val="num" w:leader="none" w:pos="1701"/>
        </w:tabs>
        <w:spacing/>
        <w:ind w:hanging="425" w:left="1701"/>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Code of Conduct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 </w:t>
      </w:r>
      <w:r>
        <w:rPr>
          <w:rFonts w:eastAsia="Times New Roman" w:asciiTheme="minorHAnsi" w:hAnsiTheme="minorHAnsi" w:cstheme="minorHAnsi"/>
          <w:sz w:val="22"/>
          <w:szCs w:val="22"/>
          <w:lang w:val="en"/>
        </w:rPr>
        <w:t xml:space="preserve">(available at </w:t>
      </w:r>
      <w:hyperlink r:id="rId20" w:tooltip="https://www.expertisefrance.fr/documents/20182/426622/Expertise+France+%E2%80%93+Code+of+conduct/82cf6060-4768-4b25-8817-ccba1d86e568" w:history="1">
        <w:r>
          <w:rPr>
            <w:rStyle w:val="1239"/>
            <w:rFonts w:eastAsia="Times New Roman" w:asciiTheme="minorHAnsi" w:hAnsiTheme="minorHAnsi" w:cstheme="minorHAnsi"/>
            <w:sz w:val="22"/>
            <w:szCs w:val="22"/>
            <w:lang w:val="en"/>
          </w:rPr>
          <w:t xml:space="preserve">https://www.expertisefrance.fr/documents/20182/426622/Expertise+France+%E2%80%93+Code+of+conduct/82cf6060-4768-4b25-8817-ccba1d86e568</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pStyle w:val="1246"/>
        <w:widowControl w:val="false"/>
        <w:numPr>
          <w:ilvl w:val="0"/>
          <w:numId w:val="13"/>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w:t>
      </w:r>
      <w:r>
        <w:rPr>
          <w:rFonts w:asciiTheme="minorHAnsi" w:hAnsiTheme="minorHAnsi" w:cstheme="minorHAnsi"/>
          <w:szCs w:val="22"/>
          <w:lang w:val="en-GB"/>
        </w:rPr>
      </w:r>
    </w:p>
    <w:p>
      <w:pPr>
        <w:pStyle w:val="1246"/>
        <w:widowControl w:val="false"/>
        <w:numPr>
          <w:ilvl w:val="0"/>
          <w:numId w:val="13"/>
        </w:numPr>
        <w:pBdr/>
        <w:spacing w:before="120"/>
        <w:ind/>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Contractor’s</w:t>
      </w:r>
      <w:r>
        <w:rPr>
          <w:rFonts w:asciiTheme="minorHAnsi" w:hAnsiTheme="minorHAnsi" w:cstheme="minorHAnsi"/>
          <w:szCs w:val="22"/>
          <w:lang w:val="en"/>
        </w:rPr>
        <w:t xml:space="preserve"> bid dated </w:t>
      </w:r>
      <w:r>
        <w:rPr>
          <w:rFonts w:asciiTheme="minorHAnsi" w:hAnsiTheme="minorHAnsi" w:cstheme="minorHAnsi"/>
          <w:szCs w:val="22"/>
          <w:highlight w:val="darkGray"/>
          <w:lang w:val="en"/>
        </w:rPr>
        <w:t xml:space="preserve">XXXXXXXXX</w:t>
      </w:r>
      <w:r>
        <w:rPr>
          <w:rFonts w:asciiTheme="minorHAnsi" w:hAnsiTheme="minorHAnsi" w:cstheme="minorHAnsi"/>
          <w:szCs w:val="22"/>
          <w:lang w:val="en-GB"/>
        </w:rPr>
      </w:r>
    </w:p>
    <w:p>
      <w:pPr>
        <w:pStyle w:val="1244"/>
        <w:widowControl w:val="false"/>
        <w:pBdr/>
        <w:spacing w:before="576"/>
        <w:ind w:firstLine="0" w:left="556"/>
        <w:rPr>
          <w:rFonts w:cs="Arial" w:asciiTheme="minorHAnsi" w:hAnsiTheme="minorHAnsi"/>
          <w:lang w:val="en-GB"/>
        </w:rPr>
      </w:pPr>
      <w:r>
        <w:rPr>
          <w:rFonts w:cs="Arial" w:asciiTheme="minorHAnsi" w:hAnsiTheme="minorHAnsi"/>
          <w:lang w:val="en"/>
        </w:rPr>
        <w:t xml:space="preserve">These documents constitute the entirety of the agreement between the </w:t>
      </w:r>
      <w:r>
        <w:rPr>
          <w:rFonts w:cs="Arial" w:asciiTheme="minorHAnsi" w:hAnsiTheme="minorHAnsi"/>
          <w:smallCaps/>
          <w:lang w:val="en"/>
        </w:rPr>
        <w:t xml:space="preserve">Parties</w:t>
      </w:r>
      <w:r>
        <w:rPr>
          <w:rFonts w:cs="Arial" w:asciiTheme="minorHAnsi" w:hAnsiTheme="minorHAnsi"/>
          <w:lang w:val="en"/>
        </w:rPr>
        <w:t xml:space="preserve"> with regard to the </w:t>
      </w:r>
      <w:r>
        <w:rPr>
          <w:rFonts w:cs="Arial" w:asciiTheme="minorHAnsi" w:hAnsiTheme="minorHAnsi"/>
          <w:smallCaps/>
          <w:lang w:val="en"/>
        </w:rPr>
        <w:t xml:space="preserve">Contract</w:t>
      </w:r>
      <w:r>
        <w:rPr>
          <w:rFonts w:cs="Arial" w:asciiTheme="minorHAnsi" w:hAnsiTheme="minorHAnsi"/>
          <w:lang w:val="en"/>
        </w:rPr>
        <w:t xml:space="preserve">. They supersede all verbal and written communications, procedures, agreements, commitments, guarantees and settlements referring to its object and facts that may have been made by or on behalf of a </w:t>
      </w:r>
      <w:r>
        <w:rPr>
          <w:rFonts w:cs="Arial" w:asciiTheme="minorHAnsi" w:hAnsiTheme="minorHAnsi"/>
          <w:smallCaps/>
          <w:lang w:val="en"/>
        </w:rPr>
        <w:t xml:space="preserve">Party</w:t>
      </w:r>
      <w:r>
        <w:rPr>
          <w:rFonts w:cs="Arial" w:asciiTheme="minorHAnsi" w:hAnsiTheme="minorHAnsi"/>
          <w:lang w:val="en"/>
        </w:rPr>
        <w:t xml:space="preserve"> to the other </w:t>
      </w:r>
      <w:r>
        <w:rPr>
          <w:rFonts w:cs="Arial" w:asciiTheme="minorHAnsi" w:hAnsiTheme="minorHAnsi"/>
          <w:smallCaps/>
          <w:lang w:val="en"/>
        </w:rPr>
        <w:t xml:space="preserve">Party</w:t>
      </w:r>
      <w:r>
        <w:rPr>
          <w:rFonts w:cs="Arial" w:asciiTheme="minorHAnsi" w:hAnsiTheme="minorHAnsi"/>
          <w:lang w:val="en"/>
        </w:rPr>
        <w:t xml:space="preserve"> before the notification date. These documents are acknowledged by the Parties to represent the sole and complete expression of the terms of their agreement.</w:t>
      </w:r>
      <w:r>
        <w:rPr>
          <w:rFonts w:cs="Arial" w:asciiTheme="minorHAnsi" w:hAnsiTheme="minorHAnsi"/>
          <w:lang w:val="en-GB"/>
        </w:rPr>
      </w:r>
    </w:p>
    <w:p>
      <w:pPr>
        <w:pStyle w:val="1244"/>
        <w:widowControl w:val="false"/>
        <w:pBdr/>
        <w:spacing w:before="240"/>
        <w:ind w:firstLine="0" w:left="556"/>
        <w:rPr>
          <w:rFonts w:asciiTheme="minorHAnsi" w:hAnsiTheme="minorHAnsi"/>
          <w:b/>
          <w:caps/>
          <w:sz w:val="24"/>
          <w:lang w:val="en-GB"/>
        </w:rPr>
      </w:pPr>
      <w:r>
        <w:rPr>
          <w:rFonts w:cs="Arial" w:asciiTheme="minorHAnsi" w:hAnsiTheme="minorHAnsi"/>
          <w:lang w:val="en"/>
        </w:rPr>
        <w:t xml:space="preserve">Without prejudice to the general rules applicable to administrative contracts, any modification to the </w:t>
      </w:r>
      <w:r>
        <w:rPr>
          <w:rFonts w:cs="Arial" w:asciiTheme="minorHAnsi" w:hAnsiTheme="minorHAnsi"/>
          <w:smallCaps/>
          <w:lang w:val="en"/>
        </w:rPr>
        <w:t xml:space="preserve">Contract</w:t>
      </w:r>
      <w:r>
        <w:rPr>
          <w:rFonts w:cs="Arial" w:asciiTheme="minorHAnsi" w:hAnsiTheme="minorHAnsi"/>
          <w:lang w:val="en"/>
        </w:rPr>
        <w:t xml:space="preserve"> or the waiver of any right resulting from the </w:t>
      </w:r>
      <w:r>
        <w:rPr>
          <w:rFonts w:cs="Arial" w:asciiTheme="minorHAnsi" w:hAnsiTheme="minorHAnsi"/>
          <w:smallCaps/>
          <w:lang w:val="en"/>
        </w:rPr>
        <w:t xml:space="preserve">Contract </w:t>
      </w:r>
      <w:r>
        <w:rPr>
          <w:rFonts w:cs="Arial" w:asciiTheme="minorHAnsi" w:hAnsiTheme="minorHAnsi"/>
          <w:lang w:val="en"/>
        </w:rPr>
        <w:t xml:space="preserve">must be covered by an amendment signed by a duly authorised representative of each </w:t>
      </w:r>
      <w:r>
        <w:rPr>
          <w:rFonts w:cs="Arial" w:asciiTheme="minorHAnsi" w:hAnsiTheme="minorHAnsi"/>
          <w:smallCaps/>
          <w:lang w:val="en"/>
        </w:rPr>
        <w:t xml:space="preserve">Party</w:t>
      </w:r>
      <w:r>
        <w:rPr>
          <w:rFonts w:cs="Arial" w:asciiTheme="minorHAnsi" w:hAnsiTheme="minorHAnsi"/>
          <w:lang w:val="en"/>
        </w:rPr>
        <w:t xml:space="preserve">.</w:t>
      </w:r>
      <w:r>
        <w:rPr>
          <w:rFonts w:asciiTheme="minorHAnsi" w:hAnsiTheme="minorHAnsi"/>
          <w:b/>
          <w:bCs/>
          <w:caps/>
          <w:sz w:val="24"/>
          <w:lang w:val="en"/>
        </w:rPr>
        <w:br w:type="page" w:clear="all"/>
      </w:r>
      <w:r>
        <w:rPr>
          <w:rFonts w:asciiTheme="minorHAnsi" w:hAnsiTheme="minorHAnsi"/>
          <w:b/>
          <w:caps/>
          <w:sz w:val="24"/>
          <w:lang w:val="en-GB"/>
        </w:rPr>
      </w:r>
    </w:p>
    <w:p>
      <w:pPr>
        <w:pStyle w:val="1244"/>
        <w:widowControl w:val="false"/>
        <w:numPr>
          <w:ilvl w:val="0"/>
          <w:numId w:val="6"/>
        </w:numPr>
        <w:pBdr/>
        <w:spacing w:after="240" w:before="600"/>
        <w:ind w:hanging="357" w:left="357"/>
        <w:jc w:val="left"/>
        <w:outlineLvl w:val="0"/>
        <w:rPr>
          <w:rFonts w:asciiTheme="minorHAnsi" w:hAnsiTheme="minorHAnsi"/>
          <w:b/>
          <w:caps/>
          <w:sz w:val="24"/>
          <w:u w:val="single"/>
        </w:rPr>
      </w:pPr>
      <w:r/>
      <w:bookmarkStart w:id="9" w:name="_Toc216881448"/>
      <w:r/>
      <w:bookmarkStart w:id="10" w:name="_Toc392669631"/>
      <w:r>
        <w:rPr>
          <w:rFonts w:asciiTheme="minorHAnsi" w:hAnsiTheme="minorHAnsi"/>
          <w:b/>
          <w:bCs/>
          <w:caps/>
          <w:sz w:val="24"/>
          <w:u w:val="single"/>
          <w:lang w:val="en"/>
        </w:rPr>
        <w:t xml:space="preserve">General characteristics of the Contract</w:t>
      </w:r>
      <w:bookmarkEnd w:id="9"/>
      <w:r/>
      <w:r>
        <w:rPr>
          <w:rFonts w:asciiTheme="minorHAnsi" w:hAnsiTheme="minorHAnsi"/>
          <w:b/>
          <w:caps/>
          <w:sz w:val="24"/>
          <w:u w:val="single"/>
        </w:rPr>
      </w:r>
    </w:p>
    <w:p>
      <w:pPr>
        <w:pStyle w:val="1052"/>
        <w:pBdr/>
        <w:spacing/>
        <w:ind/>
        <w:rPr>
          <w:rFonts w:asciiTheme="minorHAnsi" w:hAnsiTheme="minorHAnsi" w:cstheme="minorHAnsi"/>
          <w:i/>
          <w:sz w:val="22"/>
          <w:szCs w:val="22"/>
        </w:rPr>
      </w:pPr>
      <w:r/>
      <w:bookmarkStart w:id="11" w:name="_Toc216881449"/>
      <w:r>
        <w:rPr>
          <w:rFonts w:asciiTheme="minorHAnsi" w:hAnsiTheme="minorHAnsi" w:cstheme="minorHAnsi"/>
          <w:sz w:val="22"/>
          <w:szCs w:val="22"/>
          <w:lang w:val="en"/>
        </w:rPr>
        <w:t xml:space="preserve">Form of the Contract</w:t>
      </w:r>
      <w:bookmarkEnd w:id="10"/>
      <w:r/>
      <w:bookmarkEnd w:id="11"/>
      <w:r>
        <w:rPr>
          <w:rFonts w:asciiTheme="minorHAnsi" w:hAnsiTheme="minorHAnsi" w:cstheme="minorHAnsi"/>
          <w:sz w:val="22"/>
          <w:szCs w:val="22"/>
          <w:lang w:val="en"/>
        </w:rPr>
        <w:t xml:space="preserve"> </w:t>
      </w:r>
      <w:r>
        <w:rPr>
          <w:rFonts w:asciiTheme="minorHAnsi" w:hAnsiTheme="minorHAnsi" w:cstheme="minorHAnsi"/>
          <w:i/>
          <w:sz w:val="22"/>
          <w:szCs w:val="22"/>
        </w:rPr>
      </w:r>
    </w:p>
    <w:p>
      <w:pPr>
        <w:pStyle w:val="1243"/>
        <w:widowControl w:val="false"/>
        <w:pBdr/>
        <w:spacing w:before="240"/>
        <w:ind w:left="567"/>
        <w:rPr>
          <w:rFonts w:ascii="Calibri" w:hAnsi="Calibri" w:eastAsia="Calibri" w:cs="Calibri"/>
          <w:lang w:val="en-US"/>
        </w:rPr>
      </w:pPr>
      <w:r/>
      <w:bookmarkStart w:id="12" w:name="_Toc392669632"/>
      <w:r>
        <w:rPr>
          <w:rFonts w:ascii="Calibri" w:hAnsi="Calibri"/>
          <w:lang w:val="en-US"/>
        </w:rPr>
        <w:t xml:space="preserve">The </w:t>
      </w:r>
      <w:r>
        <w:rPr>
          <w:rFonts w:ascii="Calibri" w:hAnsi="Calibri"/>
          <w:smallCaps/>
          <w:lang w:val="en-US"/>
        </w:rPr>
        <w:t xml:space="preserve">Contract</w:t>
      </w:r>
      <w:r>
        <w:rPr>
          <w:rFonts w:ascii="Calibri" w:hAnsi="Calibri"/>
          <w:lang w:val="en-US"/>
        </w:rPr>
        <w:t xml:space="preserve"> is a public contract for services</w:t>
      </w:r>
      <w:r>
        <w:rPr>
          <w:rFonts w:ascii="Calibri" w:hAnsi="Calibri"/>
          <w:lang w:val="en-GB"/>
        </w:rPr>
        <w:t xml:space="preserve"> </w:t>
      </w:r>
      <w:r>
        <w:rPr>
          <w:rFonts w:ascii="Calibri" w:hAnsi="Calibri"/>
          <w:lang w:val="en-US"/>
        </w:rPr>
        <w:t xml:space="preserve">at fixed and total</w:t>
      </w:r>
      <w:r>
        <w:rPr>
          <w:rFonts w:ascii="Calibri" w:hAnsi="Calibri"/>
          <w:lang w:val="en-GB"/>
        </w:rPr>
        <w:t xml:space="preserve">.</w:t>
      </w:r>
      <w:r>
        <w:rPr>
          <w:rFonts w:ascii="Calibri" w:hAnsi="Calibri" w:eastAsia="Calibri" w:cs="Calibri"/>
          <w:lang w:val="en-US"/>
        </w:rPr>
      </w:r>
    </w:p>
    <w:p>
      <w:pPr>
        <w:pStyle w:val="1052"/>
        <w:pBdr/>
        <w:spacing w:after="60" w:before="120"/>
        <w:ind/>
        <w:rPr>
          <w:rFonts w:asciiTheme="minorHAnsi" w:hAnsiTheme="minorHAnsi" w:cstheme="minorHAnsi"/>
          <w:sz w:val="22"/>
          <w:szCs w:val="22"/>
          <w:lang w:val="en-GB"/>
        </w:rPr>
      </w:pPr>
      <w:r/>
      <w:bookmarkStart w:id="13" w:name="_Toc216881450"/>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 xml:space="preserve">of the Contract</w:t>
      </w:r>
      <w:bookmarkEnd w:id="13"/>
      <w:r/>
      <w:r>
        <w:rPr>
          <w:rFonts w:asciiTheme="minorHAnsi" w:hAnsiTheme="minorHAnsi" w:cstheme="minorHAnsi"/>
          <w:sz w:val="22"/>
          <w:szCs w:val="22"/>
          <w:lang w:val="en-GB"/>
        </w:rPr>
      </w:r>
    </w:p>
    <w:p>
      <w:pPr>
        <w:pStyle w:val="124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8</w:t>
      </w:r>
      <w:r>
        <w:rPr>
          <w:rFonts w:asciiTheme="minorHAnsi" w:hAnsiTheme="minorHAnsi" w:cstheme="minorHAnsi"/>
          <w:szCs w:val="22"/>
          <w:lang w:val="en"/>
        </w:rPr>
        <w:t xml:space="preserve"> months from its award to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by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4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 have been delivered by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 have been extinguished. If all or some of the services remain outstanding by the specified period,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244"/>
        <w:widowControl w:val="false"/>
        <w:pBdr/>
        <w:spacing w:after="120"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 </w:t>
      </w:r>
      <w:r>
        <w:rPr>
          <w:rFonts w:asciiTheme="minorHAnsi" w:hAnsiTheme="minorHAnsi" w:cstheme="minorHAnsi"/>
          <w:szCs w:val="22"/>
          <w:lang w:val="en-GB"/>
        </w:rPr>
      </w:r>
    </w:p>
    <w:p>
      <w:pPr>
        <w:pStyle w:val="1052"/>
        <w:pBdr/>
        <w:spacing w:after="60" w:before="120"/>
        <w:ind/>
        <w:rPr>
          <w:rFonts w:asciiTheme="minorHAnsi" w:hAnsiTheme="minorHAnsi" w:cstheme="minorHAnsi"/>
          <w:sz w:val="22"/>
          <w:szCs w:val="22"/>
          <w:lang w:val="en-GB"/>
        </w:rPr>
      </w:pPr>
      <w:r/>
      <w:bookmarkStart w:id="14" w:name="_Toc216881451"/>
      <w:r/>
      <w:bookmarkStart w:id="15" w:name="_Hlk216881816"/>
      <w:r>
        <w:rPr>
          <w:rFonts w:asciiTheme="minorHAnsi" w:hAnsiTheme="minorHAnsi" w:cstheme="minorHAnsi"/>
          <w:sz w:val="22"/>
          <w:szCs w:val="22"/>
          <w:lang w:val="en"/>
        </w:rPr>
        <w:t xml:space="preserve">Commencement and deadline of service provision</w:t>
      </w:r>
      <w:bookmarkEnd w:id="14"/>
      <w:r/>
      <w:r>
        <w:rPr>
          <w:rFonts w:asciiTheme="minorHAnsi" w:hAnsiTheme="minorHAnsi" w:cstheme="minorHAnsi"/>
          <w:sz w:val="22"/>
          <w:szCs w:val="22"/>
          <w:lang w:val="en-GB"/>
        </w:rPr>
      </w:r>
    </w:p>
    <w:p>
      <w:pPr>
        <w:pStyle w:val="124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 xml:space="preserve">Contract is 6</w:t>
      </w:r>
      <w:r>
        <w:rPr>
          <w:rFonts w:asciiTheme="minorHAnsi" w:hAnsiTheme="minorHAnsi" w:cstheme="minorHAnsi"/>
          <w:smallCaps/>
          <w:szCs w:val="22"/>
          <w:lang w:val="en"/>
        </w:rPr>
        <w:t xml:space="preserve"> months </w:t>
      </w:r>
      <w:r>
        <w:rPr>
          <w:rFonts w:asciiTheme="minorHAnsi" w:hAnsiTheme="minorHAnsi" w:cstheme="minorHAnsi"/>
          <w:szCs w:val="22"/>
          <w:lang w:val="en"/>
        </w:rPr>
        <w:t xml:space="preserve">from the award date of this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24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If all or some of the services remain outstanding within the specified deadline,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must immediately take all necessary steps to complete delivery without being able to claim any remuneration in this regard.</w:t>
      </w:r>
      <w:r>
        <w:rPr>
          <w:rFonts w:asciiTheme="minorHAnsi" w:hAnsiTheme="minorHAnsi" w:cstheme="minorHAnsi"/>
          <w:szCs w:val="22"/>
          <w:lang w:val="en-GB"/>
        </w:rPr>
      </w:r>
    </w:p>
    <w:p>
      <w:pPr>
        <w:pStyle w:val="1244"/>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16" w:name="_Toc216881452"/>
      <w:r/>
      <w:bookmarkEnd w:id="15"/>
      <w:r>
        <w:rPr>
          <w:rFonts w:asciiTheme="minorHAnsi" w:hAnsiTheme="minorHAnsi"/>
          <w:b/>
          <w:bCs/>
          <w:caps/>
          <w:sz w:val="24"/>
          <w:u w:val="single"/>
          <w:lang w:val="en"/>
        </w:rPr>
        <w:t xml:space="preserve">Financial provisions</w:t>
      </w:r>
      <w:bookmarkEnd w:id="16"/>
      <w:r/>
      <w:r>
        <w:rPr>
          <w:rFonts w:asciiTheme="minorHAnsi" w:hAnsiTheme="minorHAnsi"/>
          <w:b/>
          <w:caps/>
          <w:sz w:val="24"/>
          <w:u w:val="single"/>
        </w:rPr>
      </w:r>
    </w:p>
    <w:p>
      <w:pPr>
        <w:pStyle w:val="1052"/>
        <w:pBdr/>
        <w:spacing w:after="60" w:before="120"/>
        <w:ind/>
        <w:rPr>
          <w:rFonts w:asciiTheme="minorHAnsi" w:hAnsiTheme="minorHAnsi" w:cstheme="minorHAnsi"/>
          <w:sz w:val="22"/>
          <w:szCs w:val="22"/>
        </w:rPr>
      </w:pPr>
      <w:r/>
      <w:bookmarkStart w:id="17" w:name="_Toc524095228"/>
      <w:r/>
      <w:bookmarkStart w:id="18" w:name="_Toc392669634"/>
      <w:r/>
      <w:bookmarkStart w:id="19" w:name="_Toc216881453"/>
      <w:r>
        <w:rPr>
          <w:rFonts w:asciiTheme="minorHAnsi" w:hAnsiTheme="minorHAnsi" w:cstheme="minorHAnsi"/>
          <w:sz w:val="22"/>
          <w:szCs w:val="22"/>
          <w:lang w:val="en"/>
        </w:rPr>
        <w:t xml:space="preserve">Amount of the Contract</w:t>
      </w:r>
      <w:bookmarkEnd w:id="17"/>
      <w:r/>
      <w:bookmarkEnd w:id="18"/>
      <w:r/>
      <w:bookmarkEnd w:id="19"/>
      <w:r/>
      <w:r>
        <w:rPr>
          <w:rFonts w:asciiTheme="minorHAnsi" w:hAnsiTheme="minorHAnsi" w:cstheme="minorHAnsi"/>
          <w:sz w:val="22"/>
          <w:szCs w:val="22"/>
        </w:rPr>
      </w:r>
    </w:p>
    <w:p>
      <w:pPr>
        <w:pStyle w:val="1243"/>
        <w:widowControl w:val="false"/>
        <w:pBdr/>
        <w:spacing w:after="120" w:before="240"/>
        <w:ind w:left="561"/>
        <w:jc w:val="left"/>
        <w:rPr>
          <w:rFonts w:ascii="Calibri" w:hAnsi="Calibri" w:eastAsia="Calibri" w:cs="Calibri"/>
          <w:shd w:val="clear" w:color="auto" w:fill="ffff00"/>
          <w:lang w:val="en-US"/>
        </w:rPr>
      </w:pPr>
      <w:r/>
      <w:bookmarkStart w:id="20" w:name="_Toc392669637"/>
      <w:r>
        <w:rPr>
          <w:rFonts w:ascii="Calibri" w:hAnsi="Calibri"/>
          <w:lang w:val="en-US"/>
        </w:rPr>
        <w:t xml:space="preserve">The amount of the </w:t>
      </w:r>
      <w:r>
        <w:rPr>
          <w:rFonts w:ascii="Calibri" w:hAnsi="Calibri"/>
          <w:smallCaps/>
          <w:lang w:val="en-US"/>
        </w:rPr>
        <w:t xml:space="preserve">Contract </w:t>
      </w:r>
      <w:r>
        <w:rPr>
          <w:rFonts w:ascii="Calibri" w:hAnsi="Calibri"/>
          <w:lang w:val="en-GB"/>
        </w:rPr>
        <w:t xml:space="preserve">excluding VAT</w:t>
      </w:r>
      <w:r>
        <w:rPr>
          <w:rFonts w:ascii="Calibri" w:hAnsi="Calibri"/>
          <w:lang w:val="en-US"/>
        </w:rPr>
        <w:t xml:space="preserve">: </w:t>
      </w:r>
      <w:commentRangeStart w:id="2"/>
      <w:r>
        <w:rPr>
          <w:rFonts w:ascii="Calibri" w:hAnsi="Calibri"/>
          <w:highlight w:val="darkGray"/>
          <w:shd w:val="clear" w:color="auto" w:fill="ffff00"/>
          <w:lang w:val="en-GB"/>
        </w:rPr>
        <w:t xml:space="preserve">XXXXXXX</w:t>
      </w:r>
      <w:commentRangeEnd w:id="2"/>
      <w:r>
        <w:commentReference w:id="2"/>
      </w:r>
      <w:r>
        <w:rPr>
          <w:rFonts w:ascii="Calibri" w:hAnsi="Calibri"/>
          <w:highlight w:val="darkGray"/>
          <w:shd w:val="clear" w:color="auto" w:fill="ffff00"/>
          <w:lang w:val="en-US"/>
        </w:rPr>
        <w:t xml:space="preserve">€ exc. VAT.</w:t>
      </w:r>
      <w:r>
        <w:rPr>
          <w:rFonts w:ascii="Calibri" w:hAnsi="Calibri" w:eastAsia="Calibri" w:cs="Calibri"/>
          <w:shd w:val="clear" w:color="auto" w:fill="ffff00"/>
          <w:lang w:val="en-US"/>
        </w:rPr>
      </w:r>
    </w:p>
    <w:p>
      <w:pPr>
        <w:pStyle w:val="1243"/>
        <w:widowControl w:val="false"/>
        <w:pBdr/>
        <w:spacing w:after="120" w:before="240"/>
        <w:ind w:left="561"/>
        <w:jc w:val="left"/>
        <w:rPr>
          <w:rFonts w:ascii="Calibri" w:hAnsi="Calibri" w:eastAsia="Calibri" w:cs="Calibri"/>
          <w:shd w:val="clear" w:color="auto" w:fill="ffff00"/>
          <w:lang w:val="en-US"/>
        </w:rPr>
      </w:pPr>
      <w:r>
        <w:rPr>
          <w:rFonts w:ascii="Calibri" w:hAnsi="Calibri"/>
          <w:lang w:val="en-GB"/>
        </w:rPr>
        <w:t xml:space="preserve">Amount if VAT:</w:t>
      </w:r>
      <w:r>
        <w:rPr>
          <w:rFonts w:ascii="Calibri" w:hAnsi="Calibri"/>
          <w:highlight w:val="darkGray"/>
          <w:lang w:val="en-GB"/>
        </w:rPr>
        <w:t xml:space="preserve"> </w:t>
      </w:r>
      <w:r>
        <w:rPr>
          <w:rFonts w:ascii="Calibri" w:hAnsi="Calibri"/>
          <w:highlight w:val="darkGray"/>
          <w:shd w:val="clear" w:color="auto" w:fill="feff01"/>
          <w:lang w:val="en-GB"/>
        </w:rPr>
        <w:t xml:space="preserve">XXXXX</w:t>
      </w:r>
      <w:r>
        <w:rPr>
          <w:rFonts w:ascii="Calibri" w:hAnsi="Calibri"/>
          <w:highlight w:val="darkGray"/>
          <w:shd w:val="clear" w:color="auto" w:fill="ffff00"/>
          <w:lang w:val="en-US"/>
        </w:rPr>
        <w:t xml:space="preserve">€</w:t>
      </w:r>
      <w:r>
        <w:rPr>
          <w:rFonts w:ascii="Calibri" w:hAnsi="Calibri" w:eastAsia="Calibri" w:cs="Calibri"/>
          <w:shd w:val="clear" w:color="auto" w:fill="ffff00"/>
          <w:lang w:val="en-US"/>
        </w:rPr>
      </w:r>
    </w:p>
    <w:p>
      <w:pPr>
        <w:pStyle w:val="1243"/>
        <w:widowControl w:val="false"/>
        <w:pBdr/>
        <w:spacing w:after="120" w:before="240"/>
        <w:ind w:left="561"/>
        <w:jc w:val="left"/>
        <w:rPr>
          <w:rFonts w:ascii="Calibri" w:hAnsi="Calibri" w:eastAsia="Calibri" w:cs="Calibri"/>
          <w:lang w:val="en-US"/>
        </w:rPr>
      </w:pPr>
      <w:r>
        <w:rPr>
          <w:rFonts w:ascii="Calibri" w:hAnsi="Calibri"/>
          <w:lang w:val="en-GB"/>
        </w:rPr>
        <w:t xml:space="preserve">Amount of the </w:t>
      </w:r>
      <w:r>
        <w:rPr>
          <w:rFonts w:ascii="Calibri" w:hAnsi="Calibri"/>
          <w:smallCaps/>
          <w:lang w:val="en-US"/>
        </w:rPr>
        <w:t xml:space="preserve">Contract</w:t>
      </w:r>
      <w:r>
        <w:rPr>
          <w:rFonts w:ascii="Calibri" w:hAnsi="Calibri"/>
          <w:smallCaps/>
          <w:lang w:val="en-GB"/>
        </w:rPr>
        <w:t xml:space="preserve"> </w:t>
      </w:r>
      <w:r>
        <w:rPr>
          <w:rFonts w:ascii="Calibri" w:hAnsi="Calibri"/>
          <w:lang w:val="en-GB"/>
        </w:rPr>
        <w:t xml:space="preserve">including VAT:</w:t>
      </w:r>
      <w:r>
        <w:rPr>
          <w:rFonts w:ascii="Calibri" w:hAnsi="Calibri"/>
          <w:highlight w:val="darkGray"/>
          <w:lang w:val="en-GB"/>
        </w:rPr>
        <w:t xml:space="preserve"> XXXX </w:t>
      </w:r>
      <w:r>
        <w:rPr>
          <w:rFonts w:ascii="Calibri" w:hAnsi="Calibri"/>
          <w:highlight w:val="darkGray"/>
          <w:shd w:val="clear" w:color="auto" w:fill="ffff00"/>
          <w:lang w:val="en-US"/>
        </w:rPr>
        <w:t xml:space="preserve">€ </w:t>
      </w:r>
      <w:r>
        <w:rPr>
          <w:rFonts w:ascii="Calibri" w:hAnsi="Calibri"/>
          <w:highlight w:val="darkGray"/>
          <w:shd w:val="clear" w:color="auto" w:fill="ffff00"/>
          <w:lang w:val="en-GB"/>
        </w:rPr>
        <w:t xml:space="preserve">incl</w:t>
      </w:r>
      <w:r>
        <w:rPr>
          <w:rFonts w:ascii="Calibri" w:hAnsi="Calibri"/>
          <w:highlight w:val="darkGray"/>
          <w:shd w:val="clear" w:color="auto" w:fill="ffff00"/>
          <w:lang w:val="en-US"/>
        </w:rPr>
        <w:t xml:space="preserve">. VAT</w:t>
      </w:r>
      <w:r>
        <w:rPr>
          <w:rFonts w:ascii="Calibri" w:hAnsi="Calibri" w:eastAsia="Calibri" w:cs="Calibri"/>
          <w:lang w:val="en-US"/>
        </w:rPr>
      </w:r>
    </w:p>
    <w:p>
      <w:pPr>
        <w:pStyle w:val="1243"/>
        <w:widowControl w:val="false"/>
        <w:pBdr/>
        <w:spacing w:after="120" w:before="240"/>
        <w:ind w:left="561"/>
        <w:rPr>
          <w:rFonts w:ascii="Calibri" w:hAnsi="Calibri" w:eastAsia="Calibri" w:cs="Calibri"/>
          <w:lang w:val="en-US"/>
        </w:rPr>
      </w:pPr>
      <w:r>
        <w:rPr>
          <w:rFonts w:ascii="Calibri" w:hAnsi="Calibri"/>
          <w:lang w:val="en-US"/>
        </w:rPr>
        <w:t xml:space="preserve">The amount of the </w:t>
      </w:r>
      <w:r>
        <w:rPr>
          <w:rFonts w:ascii="Calibri" w:hAnsi="Calibri"/>
          <w:smallCaps/>
          <w:lang w:val="en-US"/>
        </w:rPr>
        <w:t xml:space="preserve">Contract </w:t>
      </w:r>
      <w:r>
        <w:rPr>
          <w:rFonts w:ascii="Calibri" w:hAnsi="Calibri"/>
          <w:lang w:val="en-GB"/>
        </w:rPr>
        <w:t xml:space="preserve">excluding VAT (EUR exc. VAT) </w:t>
      </w:r>
      <w:r>
        <w:rPr>
          <w:rFonts w:ascii="Calibri" w:hAnsi="Calibri"/>
          <w:lang w:val="en-US"/>
        </w:rPr>
        <w:t xml:space="preserve">equates to the total and fixed price of the Contract, which Expert</w:t>
      </w:r>
      <w:r>
        <w:rPr>
          <w:rFonts w:ascii="Calibri" w:hAnsi="Calibri"/>
          <w:lang w:val="en-US"/>
        </w:rPr>
        <w:t xml:space="preserve">ise France undertakes to pay, after validation, all the services/supplies due under the Contract have been accepted without reservation. As pricing is fixed, it includes all costs relating to the corresponding service provision and/or delivery of supplies.</w:t>
      </w:r>
      <w:r>
        <w:rPr>
          <w:rFonts w:ascii="Calibri" w:hAnsi="Calibri" w:eastAsia="Calibri" w:cs="Calibri"/>
          <w:lang w:val="en-US"/>
        </w:rPr>
      </w:r>
    </w:p>
    <w:p>
      <w:pPr>
        <w:pStyle w:val="1243"/>
        <w:widowControl w:val="false"/>
        <w:pBdr/>
        <w:spacing w:after="120" w:before="240"/>
        <w:ind w:left="561"/>
        <w:rPr>
          <w:rFonts w:ascii="Calibri" w:hAnsi="Calibri" w:eastAsia="Calibri" w:cs="Calibri"/>
          <w:lang w:val="en-US"/>
        </w:rPr>
      </w:pPr>
      <w:r>
        <w:rPr>
          <w:rFonts w:ascii="Calibri" w:hAnsi="Calibri"/>
          <w:lang w:val="en-GB"/>
        </w:rPr>
        <w:t xml:space="preserve">All currencies other than EUR shall be converted in EUR according to the European rate at the invoice date:</w:t>
      </w:r>
      <w:r>
        <w:rPr>
          <w:rFonts w:ascii="Calibri" w:hAnsi="Calibri" w:eastAsia="Calibri" w:cs="Calibri"/>
          <w:lang w:val="en-US"/>
        </w:rPr>
      </w:r>
    </w:p>
    <w:p>
      <w:pPr>
        <w:pStyle w:val="1243"/>
        <w:widowControl w:val="false"/>
        <w:pBdr/>
        <w:spacing w:after="120" w:before="240"/>
        <w:ind w:left="561"/>
        <w:rPr>
          <w:rFonts w:ascii="Calibri" w:hAnsi="Calibri" w:eastAsia="Calibri" w:cs="Calibri"/>
          <w:lang w:val="en-US"/>
        </w:rPr>
      </w:pPr>
      <w:r/>
      <w:hyperlink r:id="rId21" w:tooltip="https://commission.europa.eu/funding-tenders/procedures-guidelines-tenders/information-contractors-and-beneficiaries/exchange-rate-infoeuro_es" w:history="1">
        <w:r>
          <w:rPr>
            <w:rStyle w:val="1293"/>
            <w:lang w:val="en-US"/>
          </w:rPr>
          <w:t xml:space="preserve">https://commission.europa.eu/funding-tenders/procedures-guidelines-tenders/information-contractors-and-beneficiaries/exchange-rate-infoeuro_es</w:t>
        </w:r>
      </w:hyperlink>
      <w:r/>
      <w:r>
        <w:rPr>
          <w:rFonts w:ascii="Calibri" w:hAnsi="Calibri" w:eastAsia="Calibri" w:cs="Calibri"/>
          <w:lang w:val="en-US"/>
        </w:rPr>
      </w:r>
    </w:p>
    <w:p>
      <w:pPr>
        <w:pBdr/>
        <w:spacing/>
        <w:ind w:left="561"/>
        <w:jc w:val="both"/>
        <w:rPr>
          <w:rFonts w:ascii="Calibri" w:hAnsi="Calibri" w:eastAsia="Times New Roman"/>
          <w:sz w:val="22"/>
          <w:lang w:val="en-GB"/>
        </w:rPr>
      </w:pPr>
      <w:r>
        <w:rPr>
          <w:rFonts w:ascii="Calibri" w:hAnsi="Calibri" w:eastAsia="Times New Roman"/>
          <w:sz w:val="22"/>
          <w:lang w:val="en-GB"/>
        </w:rPr>
        <w:t xml:space="preserve">There shall be no compensation for the contractor who invoices in a currency different from the contract currency in case of loss due to variations in the exchange rate and/or cost of banking transactions.</w:t>
      </w:r>
      <w:r>
        <w:rPr>
          <w:rFonts w:ascii="Calibri" w:hAnsi="Calibri" w:eastAsia="Times New Roman"/>
          <w:sz w:val="22"/>
          <w:lang w:val="en-GB"/>
        </w:rPr>
      </w:r>
    </w:p>
    <w:p>
      <w:pPr>
        <w:pStyle w:val="1052"/>
        <w:pBdr/>
        <w:spacing w:after="60" w:before="120"/>
        <w:ind/>
        <w:rPr>
          <w:rFonts w:asciiTheme="minorHAnsi" w:hAnsiTheme="minorHAnsi" w:cstheme="minorHAnsi"/>
          <w:sz w:val="22"/>
          <w:szCs w:val="22"/>
          <w:lang w:val="en-GB"/>
        </w:rPr>
      </w:pPr>
      <w:r/>
      <w:bookmarkStart w:id="22" w:name="_Toc216881454"/>
      <w:r>
        <w:rPr>
          <w:rFonts w:asciiTheme="minorHAnsi" w:hAnsiTheme="minorHAnsi" w:cstheme="minorHAnsi"/>
          <w:sz w:val="22"/>
          <w:szCs w:val="22"/>
          <w:lang w:val="en"/>
        </w:rPr>
        <w:t xml:space="preserve">Form of prices</w:t>
      </w:r>
      <w:bookmarkEnd w:id="22"/>
      <w:r/>
      <w:r>
        <w:rPr>
          <w:rFonts w:asciiTheme="minorHAnsi" w:hAnsiTheme="minorHAnsi" w:cstheme="minorHAnsi"/>
          <w:sz w:val="22"/>
          <w:szCs w:val="22"/>
          <w:lang w:val="en-GB"/>
        </w:rPr>
      </w:r>
    </w:p>
    <w:p>
      <w:pPr>
        <w:pStyle w:val="124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r>
        <w:rPr>
          <w:rFonts w:asciiTheme="minorHAnsi" w:hAnsiTheme="minorHAnsi" w:cstheme="minorHAnsi"/>
          <w:szCs w:val="22"/>
          <w:lang w:val="en-GB"/>
        </w:rPr>
      </w:r>
    </w:p>
    <w:p>
      <w:pPr>
        <w:pStyle w:val="1052"/>
        <w:pBdr/>
        <w:spacing w:after="60" w:before="120"/>
        <w:ind/>
        <w:rPr>
          <w:rFonts w:asciiTheme="minorHAnsi" w:hAnsiTheme="minorHAnsi" w:cstheme="minorHAnsi"/>
          <w:sz w:val="22"/>
          <w:szCs w:val="22"/>
          <w:lang w:val="en-GB"/>
        </w:rPr>
      </w:pPr>
      <w:r/>
      <w:bookmarkStart w:id="23" w:name="_Toc216881455"/>
      <w:r>
        <w:rPr>
          <w:rFonts w:asciiTheme="minorHAnsi" w:hAnsiTheme="minorHAnsi" w:cstheme="minorHAnsi"/>
          <w:sz w:val="22"/>
          <w:szCs w:val="22"/>
          <w:lang w:val="en"/>
        </w:rPr>
        <w:t xml:space="preserve">Advance</w:t>
      </w:r>
      <w:bookmarkEnd w:id="23"/>
      <w:r/>
      <w:r>
        <w:rPr>
          <w:rFonts w:asciiTheme="minorHAnsi" w:hAnsiTheme="minorHAnsi" w:cstheme="minorHAnsi"/>
          <w:sz w:val="22"/>
          <w:szCs w:val="22"/>
          <w:lang w:val="en-GB"/>
        </w:rPr>
      </w:r>
    </w:p>
    <w:p>
      <w:pPr>
        <w:pStyle w:val="124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 advance of 20% is granted to the </w:t>
      </w:r>
      <w:r>
        <w:rPr>
          <w:rFonts w:asciiTheme="minorHAnsi" w:hAnsiTheme="minorHAnsi" w:cstheme="minorHAnsi"/>
          <w:smallCaps/>
          <w:lang w:val="en"/>
        </w:rPr>
        <w:t xml:space="preserve">Contractor</w:t>
      </w:r>
      <w:r>
        <w:rPr>
          <w:rFonts w:asciiTheme="minorHAnsi" w:hAnsiTheme="minorHAnsi" w:cstheme="minorHAnsi"/>
          <w:szCs w:val="22"/>
          <w:lang w:val="en"/>
        </w:rPr>
        <w:t xml:space="preserve"> from the award date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w:t>
      </w:r>
      <w:r>
        <w:rPr>
          <w:rFonts w:asciiTheme="minorHAnsi" w:hAnsiTheme="minorHAnsi" w:cstheme="minorHAnsi"/>
          <w:szCs w:val="22"/>
          <w:lang w:val="en-GB"/>
        </w:rPr>
      </w:r>
    </w:p>
    <w:p>
      <w:pPr>
        <w:pStyle w:val="124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Any renewal of the </w:t>
      </w:r>
      <w:r>
        <w:rPr>
          <w:rFonts w:asciiTheme="minorHAnsi" w:hAnsiTheme="minorHAnsi" w:cstheme="minorHAnsi"/>
          <w:smallCaps/>
          <w:lang w:val="en"/>
        </w:rPr>
        <w:t xml:space="preserve">Contract</w:t>
      </w:r>
      <w:r>
        <w:rPr>
          <w:rFonts w:asciiTheme="minorHAnsi" w:hAnsiTheme="minorHAnsi" w:cstheme="minorHAnsi"/>
          <w:szCs w:val="22"/>
          <w:lang w:val="en"/>
        </w:rPr>
        <w:t xml:space="preserve"> execution period will not establish entitlement to any additional advance.</w:t>
      </w:r>
      <w:r>
        <w:rPr>
          <w:rFonts w:asciiTheme="minorHAnsi" w:hAnsiTheme="minorHAnsi" w:cstheme="minorHAnsi"/>
          <w:szCs w:val="22"/>
          <w:lang w:val="en-GB"/>
        </w:rPr>
      </w:r>
    </w:p>
    <w:p>
      <w:pPr>
        <w:pStyle w:val="124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advance must be repaid in full once the aggregate amount of payments reaches 60% of the price of the item.</w:t>
      </w:r>
      <w:r>
        <w:rPr>
          <w:rFonts w:asciiTheme="minorHAnsi" w:hAnsiTheme="minorHAnsi" w:cstheme="minorHAnsi"/>
          <w:szCs w:val="22"/>
          <w:lang w:val="en-GB"/>
        </w:rPr>
      </w:r>
    </w:p>
    <w:p>
      <w:pPr>
        <w:pStyle w:val="124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pPr>
        <w:pStyle w:val="1052"/>
        <w:pBdr/>
        <w:spacing w:after="60" w:before="120"/>
        <w:ind/>
        <w:rPr>
          <w:rFonts w:asciiTheme="minorHAnsi" w:hAnsiTheme="minorHAnsi" w:cstheme="minorHAnsi"/>
          <w:sz w:val="22"/>
          <w:szCs w:val="22"/>
          <w:lang w:val="en-GB"/>
        </w:rPr>
      </w:pPr>
      <w:r/>
      <w:bookmarkStart w:id="24" w:name="_Toc216881456"/>
      <w:r>
        <w:rPr>
          <w:rFonts w:asciiTheme="minorHAnsi" w:hAnsiTheme="minorHAnsi" w:cstheme="minorHAnsi"/>
          <w:sz w:val="22"/>
          <w:szCs w:val="22"/>
          <w:lang w:val="en"/>
        </w:rPr>
        <w:t xml:space="preserve">Payment procedure</w:t>
      </w:r>
      <w:bookmarkEnd w:id="24"/>
      <w:r/>
      <w:r>
        <w:rPr>
          <w:rFonts w:asciiTheme="minorHAnsi" w:hAnsiTheme="minorHAnsi" w:cstheme="minorHAnsi"/>
          <w:sz w:val="22"/>
          <w:szCs w:val="22"/>
          <w:lang w:val="en-GB"/>
        </w:rPr>
      </w:r>
    </w:p>
    <w:tbl>
      <w:tblPr>
        <w:tblStyle w:val="1294"/>
        <w:tblW w:w="6662" w:type="dxa"/>
        <w:tblInd w:w="177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firstRow="1" w:lastRow="0" w:firstColumn="1" w:lastColumn="0" w:noHBand="0" w:noVBand="1"/>
      </w:tblPr>
      <w:tblGrid>
        <w:gridCol w:w="3402"/>
        <w:gridCol w:w="3260"/>
      </w:tblGrid>
      <w:tr>
        <w:trPr>
          <w:trHeight w:val="340"/>
        </w:trPr>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402" w:type="dxa"/>
            <w:vAlign w:val="center"/>
            <w:textDirection w:val="lrTb"/>
            <w:noWrap w:val="false"/>
          </w:tcPr>
          <w:p>
            <w:pPr>
              <w:pStyle w:val="1243"/>
              <w:widowControl w:val="false"/>
              <w:pBdr/>
              <w:spacing/>
              <w:ind w:left="0"/>
              <w:jc w:val="center"/>
              <w:rPr/>
            </w:pPr>
            <w:r>
              <w:rPr>
                <w:rFonts w:ascii="Calibri" w:hAnsi="Calibri"/>
                <w:b/>
                <w:bCs/>
                <w:lang w:val="en-US"/>
              </w:rPr>
              <w:t xml:space="preserve">Amount of </w:t>
            </w:r>
            <w:r>
              <w:rPr>
                <w:rFonts w:ascii="Calibri" w:hAnsi="Calibri"/>
                <w:b/>
                <w:bCs/>
                <w:lang w:val="es-ES_tradnl"/>
              </w:rPr>
              <w:t xml:space="preserve">downpayment</w:t>
            </w:r>
            <w:r/>
          </w:p>
        </w:tc>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260" w:type="dxa"/>
            <w:vAlign w:val="center"/>
            <w:textDirection w:val="lrTb"/>
            <w:noWrap w:val="false"/>
          </w:tcPr>
          <w:p>
            <w:pPr>
              <w:pStyle w:val="1243"/>
              <w:widowControl w:val="false"/>
              <w:pBdr/>
              <w:spacing/>
              <w:ind w:left="0"/>
              <w:jc w:val="center"/>
              <w:rPr/>
            </w:pPr>
            <w:r>
              <w:rPr>
                <w:rFonts w:ascii="Calibri" w:hAnsi="Calibri"/>
                <w:b/>
                <w:bCs/>
                <w:lang w:val="en-US"/>
              </w:rPr>
              <w:t xml:space="preserve">Payment date</w:t>
            </w:r>
            <w:r/>
          </w:p>
        </w:tc>
      </w:tr>
      <w:tr>
        <w:trPr>
          <w:trHeight w:val="340"/>
        </w:trPr>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402" w:type="dxa"/>
            <w:vAlign w:val="center"/>
            <w:textDirection w:val="lrTb"/>
            <w:noWrap w:val="false"/>
          </w:tcPr>
          <w:p>
            <w:pPr>
              <w:pStyle w:val="1243"/>
              <w:widowControl w:val="false"/>
              <w:pBdr/>
              <w:spacing/>
              <w:ind w:left="0"/>
              <w:jc w:val="center"/>
              <w:rPr>
                <w:lang w:val="en-GB"/>
              </w:rPr>
            </w:pPr>
            <w:r>
              <w:rPr>
                <w:rFonts w:ascii="Calibri" w:hAnsi="Calibri"/>
                <w:lang w:val="en-GB"/>
              </w:rPr>
              <w:t xml:space="preserve">10 </w:t>
            </w:r>
            <w:r>
              <w:rPr>
                <w:rFonts w:ascii="Calibri" w:hAnsi="Calibri"/>
                <w:lang w:val="en-US"/>
              </w:rPr>
              <w:t xml:space="preserve">% of the amount of </w:t>
            </w:r>
            <w:r>
              <w:rPr>
                <w:rFonts w:ascii="Calibri" w:hAnsi="Calibri"/>
                <w:lang w:val="en-GB"/>
              </w:rPr>
              <w:t xml:space="preserve">the total amount of the Contract</w:t>
            </w:r>
            <w:r>
              <w:rPr>
                <w:lang w:val="en-GB"/>
              </w:rPr>
            </w:r>
          </w:p>
        </w:tc>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260" w:type="dxa"/>
            <w:vAlign w:val="center"/>
            <w:textDirection w:val="lrTb"/>
            <w:noWrap w:val="false"/>
          </w:tcPr>
          <w:p>
            <w:pPr>
              <w:pStyle w:val="1243"/>
              <w:widowControl w:val="false"/>
              <w:pBdr/>
              <w:spacing/>
              <w:ind w:left="0"/>
              <w:jc w:val="center"/>
              <w:rPr>
                <w:lang w:val="en-GB"/>
              </w:rPr>
            </w:pPr>
            <w:r>
              <w:rPr>
                <w:rFonts w:ascii="Calibri" w:hAnsi="Calibri"/>
                <w:lang w:val="en-GB"/>
              </w:rPr>
              <w:t xml:space="preserve">A</w:t>
            </w:r>
            <w:r>
              <w:rPr>
                <w:rFonts w:ascii="Calibri" w:hAnsi="Calibri"/>
                <w:lang w:val="en-US"/>
              </w:rPr>
              <w:t xml:space="preserve">cceptance of the deliverable</w:t>
            </w:r>
            <w:r>
              <w:rPr>
                <w:rFonts w:ascii="Calibri" w:hAnsi="Calibri"/>
                <w:lang w:val="en-GB"/>
              </w:rPr>
              <w:t xml:space="preserve">s No. 1 </w:t>
            </w:r>
            <w:r>
              <w:rPr>
                <w:lang w:val="en-GB"/>
              </w:rPr>
            </w:r>
          </w:p>
        </w:tc>
      </w:tr>
      <w:tr>
        <w:trPr>
          <w:trHeight w:val="340"/>
        </w:trPr>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402" w:type="dxa"/>
            <w:vAlign w:val="center"/>
            <w:textDirection w:val="lrTb"/>
            <w:noWrap w:val="false"/>
          </w:tcPr>
          <w:p>
            <w:pPr>
              <w:pStyle w:val="1243"/>
              <w:widowControl w:val="false"/>
              <w:pBdr/>
              <w:spacing/>
              <w:ind w:left="0"/>
              <w:jc w:val="center"/>
              <w:rPr>
                <w:lang w:val="en-GB"/>
              </w:rPr>
            </w:pPr>
            <w:r>
              <w:rPr>
                <w:rFonts w:ascii="Calibri" w:hAnsi="Calibri"/>
                <w:lang w:val="en-GB"/>
              </w:rPr>
              <w:t xml:space="preserve">40 </w:t>
            </w:r>
            <w:r>
              <w:rPr>
                <w:rFonts w:ascii="Calibri" w:hAnsi="Calibri"/>
                <w:lang w:val="en-US"/>
              </w:rPr>
              <w:t xml:space="preserve">% of the amount of the </w:t>
            </w:r>
            <w:r>
              <w:rPr>
                <w:rFonts w:ascii="Calibri" w:hAnsi="Calibri"/>
                <w:lang w:val="en-GB"/>
              </w:rPr>
              <w:t xml:space="preserve">total amount of the Contract</w:t>
            </w:r>
            <w:r>
              <w:rPr>
                <w:lang w:val="en-GB"/>
              </w:rPr>
            </w:r>
          </w:p>
        </w:tc>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260" w:type="dxa"/>
            <w:vAlign w:val="center"/>
            <w:textDirection w:val="lrTb"/>
            <w:noWrap w:val="false"/>
          </w:tcPr>
          <w:p>
            <w:pPr>
              <w:pStyle w:val="1243"/>
              <w:widowControl w:val="false"/>
              <w:pBdr/>
              <w:spacing/>
              <w:ind w:left="0"/>
              <w:jc w:val="center"/>
              <w:rPr>
                <w:lang w:val="en-GB"/>
              </w:rPr>
            </w:pPr>
            <w:r>
              <w:rPr>
                <w:rFonts w:ascii="Calibri" w:hAnsi="Calibri"/>
                <w:lang w:val="en-GB"/>
              </w:rPr>
              <w:t xml:space="preserve">A</w:t>
            </w:r>
            <w:r>
              <w:rPr>
                <w:rFonts w:ascii="Calibri" w:hAnsi="Calibri"/>
                <w:lang w:val="en-US"/>
              </w:rPr>
              <w:t xml:space="preserve">cceptance of the deliverable</w:t>
            </w:r>
            <w:r>
              <w:rPr>
                <w:rFonts w:ascii="Calibri" w:hAnsi="Calibri"/>
                <w:lang w:val="en-GB"/>
              </w:rPr>
              <w:t xml:space="preserve">s No.</w:t>
            </w:r>
            <w:r>
              <w:rPr>
                <w:rFonts w:ascii="Calibri" w:hAnsi="Calibri"/>
                <w:lang w:val="en-US"/>
              </w:rPr>
              <w:t xml:space="preserve"> </w:t>
            </w:r>
            <w:r>
              <w:rPr>
                <w:rFonts w:ascii="Calibri" w:hAnsi="Calibri"/>
                <w:lang w:val="en-GB"/>
              </w:rPr>
              <w:t xml:space="preserve">2 and No. 3</w:t>
            </w:r>
            <w:r>
              <w:rPr>
                <w:lang w:val="en-GB"/>
              </w:rPr>
            </w:r>
          </w:p>
        </w:tc>
      </w:tr>
      <w:tr>
        <w:trPr>
          <w:trHeight w:val="340"/>
        </w:trPr>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402" w:type="dxa"/>
            <w:vAlign w:val="center"/>
            <w:textDirection w:val="lrTb"/>
            <w:noWrap w:val="false"/>
          </w:tcPr>
          <w:p>
            <w:pPr>
              <w:pStyle w:val="1243"/>
              <w:widowControl w:val="false"/>
              <w:pBdr/>
              <w:spacing/>
              <w:ind w:left="0"/>
              <w:jc w:val="center"/>
              <w:rPr>
                <w:lang w:val="en-GB"/>
              </w:rPr>
            </w:pPr>
            <w:r>
              <w:rPr>
                <w:rFonts w:ascii="Calibri" w:hAnsi="Calibri"/>
                <w:lang w:val="en-GB"/>
              </w:rPr>
              <w:t xml:space="preserve">30 </w:t>
            </w:r>
            <w:r>
              <w:rPr>
                <w:rFonts w:ascii="Calibri" w:hAnsi="Calibri"/>
                <w:lang w:val="en-US"/>
              </w:rPr>
              <w:t xml:space="preserve">% of the amount of the </w:t>
            </w:r>
            <w:r>
              <w:rPr>
                <w:rFonts w:ascii="Calibri" w:hAnsi="Calibri"/>
                <w:lang w:val="en-GB"/>
              </w:rPr>
              <w:t xml:space="preserve">total amount of the Contract</w:t>
            </w:r>
            <w:r>
              <w:rPr>
                <w:lang w:val="en-GB"/>
              </w:rPr>
            </w:r>
          </w:p>
        </w:tc>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260" w:type="dxa"/>
            <w:vAlign w:val="center"/>
            <w:textDirection w:val="lrTb"/>
            <w:noWrap w:val="false"/>
          </w:tcPr>
          <w:p>
            <w:pPr>
              <w:pStyle w:val="1243"/>
              <w:widowControl w:val="false"/>
              <w:pBdr/>
              <w:spacing/>
              <w:ind w:left="0"/>
              <w:jc w:val="center"/>
              <w:rPr>
                <w:lang w:val="en-GB"/>
              </w:rPr>
            </w:pPr>
            <w:r>
              <w:rPr>
                <w:rFonts w:ascii="Calibri" w:hAnsi="Calibri"/>
                <w:lang w:val="en-GB"/>
              </w:rPr>
              <w:t xml:space="preserve">A</w:t>
            </w:r>
            <w:r>
              <w:rPr>
                <w:rFonts w:ascii="Calibri" w:hAnsi="Calibri"/>
                <w:lang w:val="en-US"/>
              </w:rPr>
              <w:t xml:space="preserve">cceptance of the deliverable</w:t>
            </w:r>
            <w:r>
              <w:rPr>
                <w:rFonts w:ascii="Calibri" w:hAnsi="Calibri"/>
                <w:lang w:val="en-GB"/>
              </w:rPr>
              <w:t xml:space="preserve">s No. </w:t>
            </w:r>
            <w:r>
              <w:rPr>
                <w:lang w:val="en-GB"/>
              </w:rPr>
              <w:t xml:space="preserve">4 and No. 5</w:t>
            </w:r>
            <w:r>
              <w:rPr>
                <w:lang w:val="en-GB"/>
              </w:rPr>
            </w:r>
          </w:p>
        </w:tc>
      </w:tr>
      <w:tr>
        <w:trPr>
          <w:trHeight w:val="340"/>
        </w:trPr>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402" w:type="dxa"/>
            <w:vAlign w:val="center"/>
            <w:textDirection w:val="lrTb"/>
            <w:noWrap w:val="false"/>
          </w:tcPr>
          <w:p>
            <w:pPr>
              <w:pStyle w:val="1243"/>
              <w:widowControl w:val="false"/>
              <w:pBdr/>
              <w:spacing/>
              <w:ind w:left="0"/>
              <w:jc w:val="center"/>
              <w:rPr>
                <w:lang w:val="en-GB"/>
              </w:rPr>
            </w:pPr>
            <w:r>
              <w:rPr>
                <w:rFonts w:ascii="Calibri" w:hAnsi="Calibri"/>
                <w:lang w:val="en-GB"/>
              </w:rPr>
              <w:t xml:space="preserve">20 </w:t>
            </w:r>
            <w:r>
              <w:rPr>
                <w:rFonts w:ascii="Calibri" w:hAnsi="Calibri"/>
                <w:lang w:val="en-US"/>
              </w:rPr>
              <w:t xml:space="preserve">% of the amount of the </w:t>
            </w:r>
            <w:r>
              <w:rPr>
                <w:rFonts w:ascii="Calibri" w:hAnsi="Calibri"/>
                <w:lang w:val="en-GB"/>
              </w:rPr>
              <w:t xml:space="preserve">total amount of the Contract</w:t>
            </w:r>
            <w:r>
              <w:rPr>
                <w:lang w:val="en-GB"/>
              </w:rPr>
            </w:r>
          </w:p>
        </w:tc>
        <w:tc>
          <w:tcPr>
            <w:tcBorders>
              <w:top w:val="single" w:color="000000" w:sz="2" w:space="0"/>
              <w:left w:val="single" w:color="000000" w:sz="2" w:space="0"/>
              <w:bottom w:val="single" w:color="000000" w:sz="2" w:space="0"/>
              <w:right w:val="single" w:color="000000" w:sz="2" w:space="0"/>
            </w:tcBorders>
            <w:tcMar>
              <w:left w:w="80" w:type="dxa"/>
              <w:top w:w="80" w:type="dxa"/>
              <w:right w:w="80" w:type="dxa"/>
              <w:bottom w:w="80" w:type="dxa"/>
            </w:tcMar>
            <w:tcW w:w="3260" w:type="dxa"/>
            <w:vAlign w:val="center"/>
            <w:textDirection w:val="lrTb"/>
            <w:noWrap w:val="false"/>
          </w:tcPr>
          <w:p>
            <w:pPr>
              <w:pStyle w:val="1243"/>
              <w:widowControl w:val="false"/>
              <w:pBdr/>
              <w:spacing/>
              <w:ind w:left="0"/>
              <w:jc w:val="center"/>
              <w:rPr>
                <w:lang w:val="en-GB"/>
              </w:rPr>
            </w:pPr>
            <w:r>
              <w:rPr>
                <w:rFonts w:ascii="Calibri" w:hAnsi="Calibri"/>
                <w:lang w:val="en-GB"/>
              </w:rPr>
              <w:t xml:space="preserve">A</w:t>
            </w:r>
            <w:r>
              <w:rPr>
                <w:rFonts w:ascii="Calibri" w:hAnsi="Calibri"/>
                <w:lang w:val="en-US"/>
              </w:rPr>
              <w:t xml:space="preserve">cceptance of the deliverable</w:t>
            </w:r>
            <w:r>
              <w:rPr>
                <w:rFonts w:ascii="Calibri" w:hAnsi="Calibri"/>
                <w:lang w:val="en-GB"/>
              </w:rPr>
              <w:t xml:space="preserve">s No. 6</w:t>
            </w:r>
            <w:r>
              <w:rPr>
                <w:lang w:val="en-GB"/>
              </w:rPr>
            </w:r>
          </w:p>
        </w:tc>
      </w:tr>
    </w:tbl>
    <w:p>
      <w:pPr>
        <w:pStyle w:val="1243"/>
        <w:widowControl w:val="false"/>
        <w:pBdr/>
        <w:spacing w:after="120"/>
        <w:ind w:left="561"/>
        <w:jc w:val="left"/>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pPr>
        <w:pStyle w:val="1243"/>
        <w:widowControl w:val="false"/>
        <w:numPr>
          <w:ilvl w:val="0"/>
          <w:numId w:val="17"/>
        </w:numPr>
        <w:pBdr/>
        <w:spacing w:before="240"/>
        <w:ind w:hanging="283" w:left="567"/>
        <w:rPr>
          <w:rFonts w:asciiTheme="minorHAnsi" w:hAnsiTheme="minorHAnsi" w:cstheme="minorHAnsi"/>
          <w:b/>
          <w:bCs/>
          <w:szCs w:val="22"/>
          <w:lang w:val="en"/>
        </w:rPr>
      </w:pPr>
      <w:r>
        <w:rPr>
          <w:rFonts w:asciiTheme="minorHAnsi" w:hAnsiTheme="minorHAnsi" w:cstheme="minorHAnsi"/>
          <w:b/>
          <w:bCs/>
          <w:szCs w:val="22"/>
          <w:lang w:val="en"/>
        </w:rPr>
        <w:t xml:space="preserve">Partial definitive payments/balance</w:t>
      </w:r>
      <w:r>
        <w:rPr>
          <w:rFonts w:asciiTheme="minorHAnsi" w:hAnsiTheme="minorHAnsi" w:cstheme="minorHAnsi"/>
          <w:b/>
          <w:bCs/>
          <w:szCs w:val="22"/>
          <w:lang w:val="en"/>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Each item and purchase order gives rise to a partial definitive payment corresponding to the balance, to be carried out after receipt and final acceptance of all corresponding services and supplies.</w:t>
      </w:r>
      <w:r>
        <w:rPr>
          <w:rFonts w:cs="Arial" w:asciiTheme="minorHAnsi" w:hAnsiTheme="minorHAnsi"/>
          <w:szCs w:val="22"/>
          <w:lang w:val="en-GB"/>
        </w:rPr>
      </w:r>
    </w:p>
    <w:p>
      <w:pPr>
        <w:pStyle w:val="1052"/>
        <w:pBdr/>
        <w:spacing w:after="60" w:before="120"/>
        <w:ind/>
        <w:jc w:val="both"/>
        <w:rPr>
          <w:rFonts w:asciiTheme="minorHAnsi" w:hAnsiTheme="minorHAnsi"/>
          <w:sz w:val="22"/>
          <w:szCs w:val="22"/>
          <w:lang w:val="en-GB"/>
        </w:rPr>
      </w:pPr>
      <w:r/>
      <w:bookmarkStart w:id="25" w:name="_Toc216881457"/>
      <w:r>
        <w:rPr>
          <w:rFonts w:asciiTheme="minorHAnsi" w:hAnsiTheme="minorHAnsi"/>
          <w:sz w:val="22"/>
          <w:szCs w:val="22"/>
          <w:lang w:val="en"/>
        </w:rPr>
        <w:t xml:space="preserve">Payment terms and late payment interest</w:t>
      </w:r>
      <w:bookmarkEnd w:id="25"/>
      <w:r/>
      <w:r>
        <w:rPr>
          <w:rFonts w:asciiTheme="minorHAnsi" w:hAnsiTheme="minorHAnsi"/>
          <w:sz w:val="22"/>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Overall payment terms for monies due under the </w:t>
      </w:r>
      <w:r>
        <w:rPr>
          <w:rFonts w:asciiTheme="minorHAnsi" w:hAnsiTheme="minorHAnsi" w:cstheme="minorHAnsi"/>
          <w:smallCaps/>
          <w:lang w:val="en"/>
        </w:rPr>
        <w:t xml:space="preserve">Contract</w:t>
      </w:r>
      <w:r>
        <w:rPr>
          <w:rFonts w:cs="Arial" w:asciiTheme="minorHAnsi" w:hAnsiTheme="minorHAnsi"/>
          <w:szCs w:val="22"/>
          <w:lang w:val="en"/>
        </w:rPr>
        <w:t xml:space="preserve"> are thirty (30) days maximum from the date of receipt of the complete invoice, including all supporting documentation, or the date of service/supply acceptance if this date is later. Any missing document will prevent payment.</w:t>
      </w:r>
      <w:r>
        <w:rPr>
          <w:rFonts w:cs="Arial" w:asciiTheme="minorHAnsi" w:hAnsiTheme="minorHAnsi"/>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these payment terms are not respected,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will pay late payment interest to the </w:t>
      </w:r>
      <w:r>
        <w:rPr>
          <w:rFonts w:asciiTheme="minorHAnsi" w:hAnsiTheme="minorHAnsi" w:cstheme="minorHAnsi"/>
          <w:smallCaps/>
          <w:lang w:val="en"/>
        </w:rPr>
        <w:t xml:space="preserve">Contractor</w:t>
      </w:r>
      <w:r>
        <w:rPr>
          <w:rFonts w:cs="Arial" w:asciiTheme="minorHAnsi" w:hAnsiTheme="minorHAnsi"/>
          <w:szCs w:val="22"/>
          <w:lang w:val="en"/>
        </w:rPr>
        <w:t xml:space="preserve"> pursuant to Article R. 2192-10 et seq. of the CCP on the fight against late payment in public procurement contracts. The rate applied shal</w:t>
      </w:r>
      <w:r>
        <w:rPr>
          <w:rFonts w:cs="Arial" w:asciiTheme="minorHAnsi" w:hAnsiTheme="minorHAnsi"/>
          <w:szCs w:val="22"/>
          <w:lang w:val="en"/>
        </w:rPr>
        <w:t xml:space="preserve">l be the interest rate of the European Central Bank for its main and most recent refinancing operations, as applicable on the first day of the semester of the calendar year during which late payment interest started to accrue, plus eight percentage points.</w:t>
      </w:r>
      <w:r>
        <w:rPr>
          <w:rFonts w:cs="Arial" w:asciiTheme="minorHAnsi" w:hAnsiTheme="minorHAnsi"/>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amount of the fixed indemnity to cover collection costs is set at forty (40) euros and will be systematically paid in addition to late payment interest. Interest below €40 shall not be mandated.</w:t>
      </w:r>
      <w:r>
        <w:rPr>
          <w:rFonts w:cs="Arial" w:asciiTheme="minorHAnsi" w:hAnsiTheme="minorHAnsi"/>
          <w:szCs w:val="22"/>
          <w:lang w:val="en-GB"/>
        </w:rPr>
      </w:r>
    </w:p>
    <w:p>
      <w:pPr>
        <w:pStyle w:val="1052"/>
        <w:pBdr/>
        <w:spacing w:after="60" w:before="120"/>
        <w:ind/>
        <w:rPr>
          <w:rFonts w:asciiTheme="minorHAnsi" w:hAnsiTheme="minorHAnsi"/>
          <w:sz w:val="22"/>
          <w:szCs w:val="22"/>
          <w:lang w:val="en-GB"/>
        </w:rPr>
      </w:pPr>
      <w:r/>
      <w:bookmarkStart w:id="26" w:name="_Toc216881458"/>
      <w:r>
        <w:rPr>
          <w:rFonts w:asciiTheme="minorHAnsi" w:hAnsiTheme="minorHAnsi"/>
          <w:sz w:val="22"/>
          <w:szCs w:val="22"/>
          <w:lang w:val="en"/>
        </w:rPr>
        <w:t xml:space="preserve">Presentation of payment demands</w:t>
      </w:r>
      <w:bookmarkEnd w:id="26"/>
      <w:r/>
      <w:r>
        <w:rPr>
          <w:rFonts w:asciiTheme="minorHAnsi" w:hAnsiTheme="minorHAnsi"/>
          <w:sz w:val="22"/>
          <w:szCs w:val="22"/>
          <w:lang w:val="en-GB"/>
        </w:rPr>
      </w:r>
    </w:p>
    <w:p>
      <w:pPr>
        <w:widowControl w:val="false"/>
        <w:pBdr/>
        <w:spacing w:before="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addition to the legal notices (intracommunity VAT no.), invoices relating to the </w:t>
      </w:r>
      <w:r>
        <w:rPr>
          <w:rFonts w:asciiTheme="minorHAnsi" w:hAnsiTheme="minorHAnsi" w:cstheme="minorHAnsi"/>
          <w:smallCaps/>
          <w:sz w:val="22"/>
          <w:lang w:val="en"/>
        </w:rPr>
        <w:t xml:space="preserve">Contract</w:t>
      </w:r>
      <w:r>
        <w:rPr>
          <w:rFonts w:eastAsia="Times New Roman" w:cs="Arial" w:asciiTheme="minorHAnsi" w:hAnsiTheme="minorHAnsi"/>
          <w:sz w:val="22"/>
          <w:szCs w:val="22"/>
          <w:lang w:val="en"/>
        </w:rPr>
        <w:t xml:space="preserve"> must contain the following information:</w:t>
      </w:r>
      <w:r>
        <w:rPr>
          <w:rFonts w:eastAsia="Times New Roman" w:cs="Arial" w:asciiTheme="minorHAnsi" w:hAnsiTheme="minorHAnsi"/>
          <w:sz w:val="22"/>
          <w:szCs w:val="22"/>
          <w:lang w:val="en-GB"/>
        </w:rPr>
      </w:r>
    </w:p>
    <w:p>
      <w:pPr>
        <w:pStyle w:val="1270"/>
        <w:widowControl w:val="false"/>
        <w:numPr>
          <w:ilvl w:val="0"/>
          <w:numId w:val="14"/>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Company name, address and registered office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270"/>
        <w:widowControl w:val="false"/>
        <w:numPr>
          <w:ilvl w:val="0"/>
          <w:numId w:val="14"/>
        </w:numPr>
        <w:pBdr/>
        <w:spacing w:before="12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Registration number of the </w:t>
      </w:r>
      <w:r>
        <w:rPr>
          <w:rFonts w:asciiTheme="minorHAnsi" w:hAnsiTheme="minorHAnsi" w:cstheme="minorHAnsi"/>
          <w:smallCaps/>
          <w:sz w:val="22"/>
          <w:lang w:val="en"/>
        </w:rPr>
        <w:t xml:space="preserve">Contractor</w:t>
      </w:r>
      <w:r>
        <w:rPr>
          <w:rFonts w:eastAsia="Times New Roman" w:cs="Arial" w:asciiTheme="minorHAnsi" w:hAnsiTheme="minorHAnsi"/>
          <w:sz w:val="22"/>
          <w:szCs w:val="22"/>
          <w:lang w:val="en"/>
        </w:rPr>
        <w:t xml:space="preserve"> (SIRET or equivalent); </w:t>
      </w:r>
      <w:r>
        <w:rPr>
          <w:rFonts w:eastAsia="Times New Roman" w:cs="Arial" w:asciiTheme="minorHAnsi" w:hAnsiTheme="minorHAnsi"/>
          <w:sz w:val="22"/>
          <w:szCs w:val="22"/>
          <w:lang w:val="en-GB"/>
        </w:rPr>
      </w:r>
    </w:p>
    <w:p>
      <w:pPr>
        <w:pStyle w:val="1270"/>
        <w:widowControl w:val="false"/>
        <w:numPr>
          <w:ilvl w:val="0"/>
          <w:numId w:val="14"/>
        </w:numPr>
        <w:pBdr/>
        <w:spacing w:before="12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Bank account details;</w:t>
      </w:r>
      <w:r>
        <w:rPr>
          <w:rFonts w:eastAsia="Times New Roman" w:cs="Arial" w:asciiTheme="minorHAnsi" w:hAnsiTheme="minorHAnsi"/>
          <w:sz w:val="22"/>
          <w:szCs w:val="22"/>
        </w:rPr>
      </w:r>
    </w:p>
    <w:p>
      <w:pPr>
        <w:pStyle w:val="1270"/>
        <w:widowControl w:val="false"/>
        <w:numPr>
          <w:ilvl w:val="0"/>
          <w:numId w:val="14"/>
        </w:numPr>
        <w:pBdr/>
        <w:spacing w:before="120" w:line="240" w:lineRule="auto"/>
        <w:ind w:left="1276"/>
        <w:jc w:val="both"/>
        <w:rPr>
          <w:rFonts w:eastAsia="Times New Roman" w:cs="Arial" w:asciiTheme="minorHAnsi" w:hAnsiTheme="minorHAnsi"/>
          <w:lang w:val="en-GB"/>
        </w:rPr>
      </w:pPr>
      <w:r>
        <w:rPr>
          <w:rFonts w:eastAsia="Times New Roman" w:cs="Arial" w:asciiTheme="minorHAnsi" w:hAnsiTheme="minorHAnsi"/>
          <w:sz w:val="22"/>
          <w:szCs w:val="22"/>
          <w:lang w:val="en"/>
        </w:rPr>
        <w:t xml:space="preserve">The code of the department acting as specifying department (stated in the article entitled </w:t>
      </w:r>
      <w:r>
        <w:rPr>
          <w:rFonts w:eastAsia="Times New Roman" w:cs="Arial" w:asciiTheme="minorHAnsi" w:hAnsiTheme="minorHAnsi"/>
          <w:sz w:val="22"/>
          <w:szCs w:val="22"/>
          <w:lang w:val="en"/>
        </w:rPr>
        <w:fldChar w:fldCharType="begin"/>
      </w:r>
      <w:r>
        <w:rPr>
          <w:rFonts w:eastAsia="Times New Roman" w:cs="Arial" w:asciiTheme="minorHAnsi" w:hAnsiTheme="minorHAnsi"/>
          <w:sz w:val="22"/>
          <w:szCs w:val="22"/>
          <w:lang w:val="en"/>
        </w:rPr>
        <w:instrText xml:space="preserve"> REF _Ref464060009 \h  \* MERGEFORMAT </w:instrText>
      </w:r>
      <w:r>
        <w:rPr>
          <w:rFonts w:eastAsia="Times New Roman" w:cs="Arial" w:asciiTheme="minorHAnsi" w:hAnsiTheme="minorHAnsi"/>
          <w:sz w:val="22"/>
          <w:szCs w:val="22"/>
          <w:lang w:val="en"/>
        </w:rPr>
        <w:fldChar w:fldCharType="separate"/>
      </w:r>
      <w:r>
        <w:rPr>
          <w:rFonts w:eastAsia="Times New Roman" w:cs="Arial" w:asciiTheme="minorHAnsi" w:hAnsiTheme="minorHAnsi"/>
          <w:sz w:val="22"/>
          <w:szCs w:val="22"/>
          <w:lang w:val="en"/>
        </w:rPr>
        <w:t xml:space="preserve">Contact person and communication</w:t>
      </w:r>
      <w:r>
        <w:rPr>
          <w:rFonts w:eastAsia="Times New Roman" w:cs="Arial" w:asciiTheme="minorHAnsi" w:hAnsiTheme="minorHAnsi"/>
          <w:sz w:val="22"/>
          <w:szCs w:val="22"/>
          <w:lang w:val="en"/>
        </w:rPr>
        <w:fldChar w:fldCharType="end"/>
      </w:r>
      <w:r>
        <w:rPr>
          <w:rFonts w:eastAsia="Times New Roman" w:cs="Arial" w:asciiTheme="minorHAnsi" w:hAnsiTheme="minorHAnsi"/>
          <w:sz w:val="22"/>
          <w:szCs w:val="22"/>
          <w:lang w:val="en"/>
        </w:rPr>
        <w:t xml:space="preserve">): DDU</w:t>
      </w:r>
      <w:r>
        <w:rPr>
          <w:rFonts w:eastAsia="Times New Roman" w:cs="Arial" w:asciiTheme="minorHAnsi" w:hAnsiTheme="minorHAnsi"/>
          <w:lang w:val="en-GB"/>
        </w:rPr>
      </w:r>
    </w:p>
    <w:p>
      <w:pPr>
        <w:pStyle w:val="1270"/>
        <w:widowControl w:val="false"/>
        <w:numPr>
          <w:ilvl w:val="0"/>
          <w:numId w:val="14"/>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Reference number of the </w:t>
      </w:r>
      <w:r>
        <w:rPr>
          <w:rFonts w:asciiTheme="minorHAnsi" w:hAnsiTheme="minorHAnsi" w:cstheme="minorHAnsi"/>
          <w:smallCaps/>
          <w:sz w:val="22"/>
          <w:lang w:val="en"/>
        </w:rPr>
        <w:t xml:space="preserve">Contract</w:t>
      </w:r>
      <w:r>
        <w:rPr>
          <w:rFonts w:eastAsia="Times New Roman" w:asciiTheme="minorHAnsi" w:hAnsiTheme="minorHAnsi" w:cstheme="minorHAnsi"/>
          <w:sz w:val="22"/>
          <w:lang w:val="en"/>
        </w:rPr>
        <w:t xml:space="preserve">;</w:t>
      </w:r>
      <w:r>
        <w:rPr>
          <w:rFonts w:eastAsia="Times New Roman" w:asciiTheme="minorHAnsi" w:hAnsiTheme="minorHAnsi" w:cstheme="minorHAnsi"/>
          <w:sz w:val="22"/>
          <w:lang w:val="en-GB"/>
        </w:rPr>
      </w:r>
    </w:p>
    <w:p>
      <w:pPr>
        <w:pStyle w:val="1270"/>
        <w:widowControl w:val="false"/>
        <w:numPr>
          <w:ilvl w:val="0"/>
          <w:numId w:val="14"/>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GB"/>
        </w:rPr>
        <w:t xml:space="preserve">The reference and title of the cooperation project concerned (if applicable);</w:t>
      </w:r>
      <w:r>
        <w:rPr>
          <w:rFonts w:eastAsia="Times New Roman" w:asciiTheme="minorHAnsi" w:hAnsiTheme="minorHAnsi" w:cstheme="minorHAnsi"/>
          <w:sz w:val="22"/>
          <w:lang w:val="en-GB"/>
        </w:rPr>
      </w:r>
    </w:p>
    <w:p>
      <w:pPr>
        <w:pStyle w:val="1270"/>
        <w:widowControl w:val="false"/>
        <w:numPr>
          <w:ilvl w:val="0"/>
          <w:numId w:val="14"/>
        </w:numPr>
        <w:pBdr/>
        <w:spacing w:before="120" w:line="240" w:lineRule="auto"/>
        <w:ind/>
        <w:jc w:val="both"/>
        <w:rPr>
          <w:rFonts w:eastAsia="Times New Roman" w:asciiTheme="minorHAnsi" w:hAnsiTheme="minorHAnsi" w:cstheme="minorHAnsi"/>
          <w:sz w:val="22"/>
          <w:lang w:val="en-GB"/>
        </w:rPr>
      </w:pPr>
      <w:r>
        <w:rPr>
          <w:rFonts w:eastAsia="Times New Roman" w:asciiTheme="minorHAnsi" w:hAnsiTheme="minorHAnsi" w:cstheme="minorHAnsi"/>
          <w:sz w:val="22"/>
          <w:lang w:val="en"/>
        </w:rPr>
        <w:t xml:space="preserve">Clear and accurate description of the equipment/supplies sold and/or services performed;</w:t>
      </w:r>
      <w:r>
        <w:rPr>
          <w:rFonts w:eastAsia="Times New Roman" w:asciiTheme="minorHAnsi" w:hAnsiTheme="minorHAnsi" w:cstheme="minorHAnsi"/>
          <w:sz w:val="22"/>
          <w:lang w:val="en-GB"/>
        </w:rPr>
      </w:r>
    </w:p>
    <w:p>
      <w:pPr>
        <w:pStyle w:val="1270"/>
        <w:widowControl w:val="false"/>
        <w:numPr>
          <w:ilvl w:val="0"/>
          <w:numId w:val="14"/>
        </w:numPr>
        <w:pBdr/>
        <w:spacing w:before="120" w:line="240" w:lineRule="auto"/>
        <w:ind/>
        <w:jc w:val="both"/>
        <w:rPr>
          <w:rFonts w:eastAsia="Times New Roman" w:asciiTheme="minorHAnsi"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 xml:space="preserve">Contractor</w:t>
      </w:r>
      <w:r>
        <w:rPr>
          <w:rFonts w:asciiTheme="minorHAnsi" w:hAnsiTheme="minorHAnsi" w:cstheme="minorHAnsi"/>
          <w:sz w:val="22"/>
          <w:lang w:val="en"/>
        </w:rPr>
        <w:t xml:space="preserve">’s bank details are not stated on invoices, it must provide a statement or certificate of bank or post office account details, with the third-party form duly completed in all cases.</w:t>
      </w:r>
      <w:r>
        <w:rPr>
          <w:rFonts w:eastAsia="Times New Roman" w:asciiTheme="minorHAnsi" w:hAnsiTheme="minorHAnsi" w:cstheme="minorHAnsi"/>
          <w:sz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on behalf of which the </w:t>
      </w:r>
      <w:r>
        <w:rPr>
          <w:rFonts w:asciiTheme="minorHAnsi" w:hAnsiTheme="minorHAnsi" w:cstheme="minorHAnsi"/>
          <w:smallCaps/>
          <w:lang w:val="en"/>
        </w:rPr>
        <w:t xml:space="preserve">Contract</w:t>
      </w:r>
      <w:r>
        <w:rPr>
          <w:rFonts w:cs="Arial" w:asciiTheme="minorHAnsi" w:hAnsiTheme="minorHAnsi"/>
          <w:szCs w:val="22"/>
          <w:lang w:val="en"/>
        </w:rPr>
        <w:t xml:space="preserve"> has been placed.</w:t>
      </w:r>
      <w:r>
        <w:rPr>
          <w:rFonts w:cs="Arial" w:asciiTheme="minorHAnsi" w:hAnsiTheme="minorHAnsi"/>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If the </w:t>
      </w:r>
      <w:r>
        <w:rPr>
          <w:rFonts w:asciiTheme="minorHAnsi" w:hAnsiTheme="minorHAnsi" w:cstheme="minorHAnsi"/>
          <w:smallCaps/>
          <w:lang w:val="en"/>
        </w:rPr>
        <w:t xml:space="preserve">Contractor</w:t>
      </w:r>
      <w:r>
        <w:rPr>
          <w:rFonts w:cs="Arial" w:asciiTheme="minorHAnsi" w:hAnsiTheme="minorHAnsi"/>
          <w:szCs w:val="22"/>
          <w:lang w:val="en"/>
        </w:rPr>
        <w:t xml:space="preserve"> is not obliged to forward invoices via Chorus, it may submit its invoices to the contact person stated in the article entitled </w:t>
      </w:r>
      <w:r>
        <w:rPr>
          <w:rFonts w:cs="Arial" w:asciiTheme="minorHAnsi" w:hAnsiTheme="minorHAnsi"/>
          <w:szCs w:val="22"/>
          <w:lang w:val="en"/>
        </w:rPr>
        <w:fldChar w:fldCharType="begin"/>
      </w:r>
      <w:r>
        <w:rPr>
          <w:rFonts w:cs="Arial" w:asciiTheme="minorHAnsi" w:hAnsiTheme="minorHAnsi"/>
          <w:szCs w:val="22"/>
          <w:lang w:val="en"/>
        </w:rPr>
        <w:instrText xml:space="preserve"> REF _Ref464060009 \h  \* MERGEFORMAT </w:instrText>
      </w:r>
      <w:r>
        <w:rPr>
          <w:rFonts w:cs="Arial" w:asciiTheme="minorHAnsi" w:hAnsiTheme="minorHAnsi"/>
          <w:szCs w:val="22"/>
          <w:lang w:val="en"/>
        </w:rPr>
        <w:fldChar w:fldCharType="separate"/>
      </w:r>
      <w:r>
        <w:rPr>
          <w:rFonts w:cs="Arial" w:asciiTheme="minorHAnsi" w:hAnsiTheme="minorHAnsi"/>
          <w:szCs w:val="22"/>
          <w:lang w:val="en"/>
        </w:rPr>
        <w:t xml:space="preserve">Contact person and communication</w:t>
      </w:r>
      <w:r>
        <w:rPr>
          <w:rFonts w:cs="Arial" w:asciiTheme="minorHAnsi" w:hAnsiTheme="minorHAnsi"/>
          <w:szCs w:val="22"/>
          <w:lang w:val="en"/>
        </w:rPr>
        <w:fldChar w:fldCharType="end"/>
      </w:r>
      <w:r>
        <w:rPr>
          <w:rFonts w:cs="Arial" w:asciiTheme="minorHAnsi" w:hAnsiTheme="minorHAnsi"/>
          <w:szCs w:val="22"/>
          <w:lang w:val="en"/>
        </w:rPr>
        <w:t xml:space="preserve">.</w:t>
      </w:r>
      <w:r>
        <w:rPr>
          <w:rFonts w:cs="Arial" w:asciiTheme="minorHAnsi" w:hAnsiTheme="minorHAnsi"/>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Invoices for balances (partial definitive payments) must be accompanied by a copy of the acceptance decision for the corresponding services and/or supplies. </w:t>
      </w:r>
      <w:r>
        <w:rPr>
          <w:rFonts w:cs="Arial" w:asciiTheme="minorHAnsi" w:hAnsiTheme="minorHAnsi"/>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missing document will prevent payment.</w:t>
      </w:r>
      <w:r>
        <w:rPr>
          <w:rFonts w:cs="Arial" w:asciiTheme="minorHAnsi" w:hAnsiTheme="minorHAnsi"/>
          <w:szCs w:val="22"/>
          <w:lang w:val="en-GB"/>
        </w:rPr>
      </w:r>
    </w:p>
    <w:p>
      <w:pPr>
        <w:pStyle w:val="1052"/>
        <w:pBdr/>
        <w:tabs>
          <w:tab w:val="num" w:leader="none" w:pos="576"/>
        </w:tabs>
        <w:spacing w:after="60" w:before="120"/>
        <w:ind/>
        <w:jc w:val="both"/>
        <w:rPr>
          <w:rFonts w:asciiTheme="minorHAnsi" w:hAnsiTheme="minorHAnsi"/>
          <w:b w:val="0"/>
          <w:sz w:val="22"/>
          <w:szCs w:val="22"/>
          <w:lang w:val="en-GB"/>
        </w:rPr>
      </w:pPr>
      <w:r/>
      <w:bookmarkStart w:id="27" w:name="_Toc216881459"/>
      <w:r/>
      <w:bookmarkStart w:id="28" w:name="_Toc344300189"/>
      <w:r/>
      <w:bookmarkEnd w:id="20"/>
      <w:r>
        <w:rPr>
          <w:rFonts w:asciiTheme="minorHAnsi" w:hAnsiTheme="minorHAnsi"/>
          <w:sz w:val="22"/>
          <w:szCs w:val="22"/>
          <w:lang w:val="en"/>
        </w:rPr>
        <w:t xml:space="preserve">Bank transfer</w:t>
      </w:r>
      <w:bookmarkEnd w:id="27"/>
      <w:r/>
      <w:r>
        <w:rPr>
          <w:rFonts w:asciiTheme="minorHAnsi" w:hAnsiTheme="minorHAnsi"/>
          <w:b w:val="0"/>
          <w:sz w:val="22"/>
          <w:szCs w:val="22"/>
          <w:lang w:val="en-GB"/>
        </w:rPr>
      </w:r>
    </w:p>
    <w:p>
      <w:pPr>
        <w:pStyle w:val="1243"/>
        <w:widowControl w:val="false"/>
        <w:pBdr/>
        <w:spacing w:after="120"/>
        <w:ind w:left="561"/>
        <w:rPr>
          <w:rFonts w:eastAsia="Calibri" w:asciiTheme="minorHAnsi" w:hAnsiTheme="minorHAnsi"/>
          <w:szCs w:val="22"/>
          <w:lang w:val="en-GB"/>
        </w:rPr>
      </w:pPr>
      <w:r>
        <w:rPr>
          <w:rFonts w:cs="Arial" w:asciiTheme="minorHAnsi" w:hAnsiTheme="minorHAnsi"/>
          <w:szCs w:val="22"/>
          <w:lang w:val="en"/>
        </w:rPr>
        <w:t xml:space="preserve">Payment for invoiced services will be made to the bank account identified in the third-party sheet.</w:t>
      </w:r>
      <w:r>
        <w:rPr>
          <w:rFonts w:eastAsia="Calibri" w:asciiTheme="minorHAnsi" w:hAnsiTheme="minorHAnsi"/>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Payment is always made out in the name of the issuer of the invoice or of the expense reimbursement request.</w:t>
      </w:r>
      <w:r>
        <w:rPr>
          <w:rFonts w:cs="Arial" w:asciiTheme="minorHAnsi" w:hAnsiTheme="minorHAnsi"/>
          <w:szCs w:val="22"/>
          <w:lang w:val="en-GB"/>
        </w:rPr>
      </w:r>
    </w:p>
    <w:p>
      <w:pPr>
        <w:pStyle w:val="1052"/>
        <w:pBdr/>
        <w:tabs>
          <w:tab w:val="num" w:leader="none" w:pos="576"/>
        </w:tabs>
        <w:spacing w:after="60" w:before="120"/>
        <w:ind/>
        <w:rPr>
          <w:rFonts w:asciiTheme="minorHAnsi" w:hAnsiTheme="minorHAnsi"/>
          <w:sz w:val="22"/>
          <w:szCs w:val="22"/>
          <w:lang w:val="en-GB"/>
        </w:rPr>
      </w:pPr>
      <w:r/>
      <w:bookmarkStart w:id="29" w:name="_Toc216881460"/>
      <w:r>
        <w:rPr>
          <w:rFonts w:asciiTheme="minorHAnsi" w:hAnsiTheme="minorHAnsi"/>
          <w:sz w:val="22"/>
          <w:szCs w:val="22"/>
          <w:lang w:val="en"/>
        </w:rPr>
        <w:t xml:space="preserve">Value added tax (VAT)</w:t>
      </w:r>
      <w:bookmarkEnd w:id="28"/>
      <w:r/>
      <w:bookmarkEnd w:id="29"/>
      <w:r/>
      <w:r>
        <w:rPr>
          <w:rFonts w:asciiTheme="minorHAnsi" w:hAnsiTheme="minorHAnsi"/>
          <w:sz w:val="22"/>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Pr>
          <w:rFonts w:cs="Arial" w:asciiTheme="minorHAnsi" w:hAnsiTheme="minorHAnsi"/>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Any </w:t>
      </w:r>
      <w:r>
        <w:rPr>
          <w:rFonts w:asciiTheme="minorHAnsi" w:hAnsiTheme="minorHAnsi" w:cstheme="minorHAnsi"/>
          <w:smallCaps/>
          <w:lang w:val="en"/>
        </w:rPr>
        <w:t xml:space="preserve">Contractor</w:t>
      </w:r>
      <w:r>
        <w:rPr>
          <w:rFonts w:cs="Arial" w:asciiTheme="minorHAnsi" w:hAnsiTheme="minorHAnsi"/>
          <w:szCs w:val="22"/>
          <w:lang w:val="en"/>
        </w:rPr>
        <w:t xml:space="preserve"> benefitting from exemption must state “VAT exempt” in accordance with the rules that apply to it.</w:t>
      </w:r>
      <w:r>
        <w:rPr>
          <w:rFonts w:cs="Arial" w:asciiTheme="minorHAnsi" w:hAnsiTheme="minorHAnsi"/>
          <w:szCs w:val="22"/>
          <w:lang w:val="en-GB"/>
        </w:rPr>
      </w:r>
    </w:p>
    <w:p>
      <w:pPr>
        <w:pStyle w:val="1052"/>
        <w:pBdr/>
        <w:tabs>
          <w:tab w:val="num" w:leader="none" w:pos="576"/>
        </w:tabs>
        <w:spacing w:after="60" w:before="120"/>
        <w:ind/>
        <w:jc w:val="both"/>
        <w:rPr>
          <w:rFonts w:asciiTheme="minorHAnsi" w:hAnsiTheme="minorHAnsi"/>
          <w:sz w:val="22"/>
          <w:szCs w:val="22"/>
          <w:lang w:val="en-GB"/>
        </w:rPr>
      </w:pPr>
      <w:r/>
      <w:bookmarkStart w:id="30" w:name="_Toc392669638"/>
      <w:r/>
      <w:bookmarkStart w:id="31" w:name="_Toc216881461"/>
      <w:r>
        <w:rPr>
          <w:rFonts w:asciiTheme="minorHAnsi" w:hAnsiTheme="minorHAnsi"/>
          <w:sz w:val="22"/>
          <w:szCs w:val="22"/>
          <w:lang w:val="en"/>
        </w:rPr>
        <w:t xml:space="preserve">Taxes and duties</w:t>
      </w:r>
      <w:bookmarkEnd w:id="30"/>
      <w:r/>
      <w:bookmarkEnd w:id="31"/>
      <w:r/>
      <w:r>
        <w:rPr>
          <w:rFonts w:asciiTheme="minorHAnsi" w:hAnsiTheme="minorHAnsi"/>
          <w:sz w:val="22"/>
          <w:szCs w:val="22"/>
          <w:lang w:val="en-GB"/>
        </w:rPr>
      </w:r>
    </w:p>
    <w:p>
      <w:pPr>
        <w:pStyle w:val="1243"/>
        <w:widowControl w:val="false"/>
        <w:pBdr/>
        <w:spacing w:after="120"/>
        <w:ind w:left="561"/>
        <w:rPr>
          <w:rFonts w:cs="Arial" w:asciiTheme="minorHAnsi" w:hAnsiTheme="minorHAnsi"/>
          <w:szCs w:val="22"/>
          <w:lang w:val="en-GB"/>
        </w:rPr>
      </w:pPr>
      <w:r>
        <w:rPr>
          <w:rFonts w:cs="Arial" w:asciiTheme="minorHAnsi" w:hAnsiTheme="minorHAnsi"/>
          <w:szCs w:val="22"/>
          <w:lang w:val="en"/>
        </w:rPr>
        <w:t xml:space="preserve">The </w:t>
      </w:r>
      <w:r>
        <w:rPr>
          <w:rFonts w:asciiTheme="minorHAnsi" w:hAnsiTheme="minorHAnsi" w:cstheme="minorHAnsi"/>
          <w:smallCaps/>
          <w:lang w:val="en"/>
        </w:rPr>
        <w:t xml:space="preserve">Contractor</w:t>
      </w:r>
      <w:r>
        <w:rPr>
          <w:rFonts w:cs="Arial" w:asciiTheme="minorHAnsi" w:hAnsiTheme="minorHAnsi"/>
          <w:szCs w:val="22"/>
          <w:lang w:val="en"/>
        </w:rPr>
        <w:t xml:space="preserve"> shall be directly responsible for all taxes and duties that may be levied against it under the </w:t>
      </w:r>
      <w:r>
        <w:rPr>
          <w:rFonts w:asciiTheme="minorHAnsi" w:hAnsiTheme="minorHAnsi" w:cstheme="minorHAnsi"/>
          <w:smallCaps/>
          <w:lang w:val="en"/>
        </w:rPr>
        <w:t xml:space="preserve">Contract</w:t>
      </w:r>
      <w:r>
        <w:rPr>
          <w:rFonts w:cs="Arial" w:asciiTheme="minorHAnsi" w:hAnsiTheme="minorHAnsi"/>
          <w:szCs w:val="22"/>
          <w:lang w:val="en"/>
        </w:rPr>
        <w:t xml:space="preserve">, both in the country of its registered office and in those of project implementation.</w:t>
      </w:r>
      <w:r>
        <w:rPr>
          <w:rFonts w:cs="Arial" w:asciiTheme="minorHAnsi" w:hAnsiTheme="minorHAnsi"/>
          <w:szCs w:val="22"/>
          <w:lang w:val="en-GB"/>
        </w:rPr>
      </w:r>
    </w:p>
    <w:p>
      <w:pPr>
        <w:pStyle w:val="1244"/>
        <w:widowControl w:val="false"/>
        <w:numPr>
          <w:ilvl w:val="0"/>
          <w:numId w:val="6"/>
        </w:numPr>
        <w:pBdr/>
        <w:tabs>
          <w:tab w:val="left" w:leader="none" w:pos="993"/>
          <w:tab w:val="left" w:leader="none" w:pos="1276"/>
        </w:tabs>
        <w:spacing w:after="240" w:before="600"/>
        <w:ind w:hanging="357" w:left="357"/>
        <w:jc w:val="left"/>
        <w:outlineLvl w:val="0"/>
        <w:rPr>
          <w:rFonts w:asciiTheme="minorHAnsi" w:hAnsiTheme="minorHAnsi"/>
          <w:b/>
          <w:caps/>
          <w:sz w:val="24"/>
          <w:u w:val="single"/>
        </w:rPr>
      </w:pPr>
      <w:r/>
      <w:bookmarkStart w:id="32" w:name="_Toc216881462"/>
      <w:r>
        <w:rPr>
          <w:rFonts w:asciiTheme="minorHAnsi" w:hAnsiTheme="minorHAnsi"/>
          <w:b/>
          <w:bCs/>
          <w:caps/>
          <w:sz w:val="24"/>
          <w:u w:val="single"/>
          <w:lang w:val="en"/>
        </w:rPr>
        <w:t xml:space="preserve">inspection and acceptance activities</w:t>
      </w:r>
      <w:bookmarkEnd w:id="32"/>
      <w:r/>
      <w:r>
        <w:rPr>
          <w:rFonts w:asciiTheme="minorHAnsi" w:hAnsiTheme="minorHAnsi"/>
          <w:b/>
          <w:caps/>
          <w:sz w:val="24"/>
          <w:u w:val="single"/>
        </w:rPr>
      </w:r>
    </w:p>
    <w:p>
      <w:pPr>
        <w:pStyle w:val="1052"/>
        <w:pBdr/>
        <w:spacing/>
        <w:ind/>
        <w:jc w:val="both"/>
        <w:rPr>
          <w:rFonts w:asciiTheme="minorHAnsi" w:hAnsiTheme="minorHAnsi"/>
          <w:sz w:val="22"/>
          <w:szCs w:val="22"/>
        </w:rPr>
      </w:pPr>
      <w:r/>
      <w:bookmarkStart w:id="33" w:name="_Toc392669640"/>
      <w:r/>
      <w:bookmarkStart w:id="34" w:name="_Toc390691469"/>
      <w:r/>
      <w:bookmarkStart w:id="35" w:name="_Toc216881463"/>
      <w:r>
        <w:rPr>
          <w:rFonts w:asciiTheme="minorHAnsi" w:hAnsiTheme="minorHAnsi"/>
          <w:sz w:val="22"/>
          <w:szCs w:val="22"/>
          <w:lang w:val="en"/>
        </w:rPr>
        <w:t xml:space="preserve">Inspection activities</w:t>
      </w:r>
      <w:bookmarkEnd w:id="33"/>
      <w:r/>
      <w:bookmarkEnd w:id="34"/>
      <w:r/>
      <w:bookmarkEnd w:id="35"/>
      <w:r/>
      <w:r>
        <w:rPr>
          <w:rFonts w:asciiTheme="minorHAnsi" w:hAnsiTheme="minorHAnsi"/>
          <w:sz w:val="22"/>
          <w:szCs w:val="22"/>
        </w:rPr>
      </w:r>
    </w:p>
    <w:p>
      <w:pPr>
        <w:pStyle w:val="1243"/>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Inspection activities will be carried out for services and supplies as set out in Chapter 5 of the CCAG-FCS. By way of derogation from Article 23 of the CCAG-FCS, inspection activities will be carried out by:</w:t>
      </w:r>
      <w:r>
        <w:rPr>
          <w:rFonts w:cs="Arial" w:asciiTheme="minorHAnsi" w:hAnsiTheme="minorHAnsi"/>
          <w:szCs w:val="22"/>
          <w:lang w:val="en-GB"/>
        </w:rPr>
      </w:r>
    </w:p>
    <w:p>
      <w:pPr>
        <w:pStyle w:val="1243"/>
        <w:widowControl w:val="false"/>
        <w:numPr>
          <w:ilvl w:val="0"/>
          <w:numId w:val="26"/>
        </w:numPr>
        <w:pBdr>
          <w:top w:val="none" w:color="000000" w:sz="4" w:space="0"/>
          <w:left w:val="none" w:color="000000" w:sz="4" w:space="0"/>
          <w:bottom w:val="none" w:color="000000" w:sz="4" w:space="0"/>
          <w:right w:val="none" w:color="000000" w:sz="4" w:space="0"/>
          <w:between w:val="none" w:color="000000" w:sz="4" w:space="0"/>
        </w:pBdr>
        <w:spacing/>
        <w:ind/>
        <w:rPr>
          <w:rFonts w:ascii="Calibri" w:hAnsi="Calibri"/>
          <w:lang w:val="en-US"/>
        </w:rPr>
      </w:pPr>
      <w:r/>
      <w:bookmarkStart w:id="36" w:name="_Toc390691470"/>
      <w:r/>
      <w:bookmarkStart w:id="37" w:name="_Toc392669641"/>
      <w:r>
        <w:rPr>
          <w:rStyle w:val="1295"/>
          <w:rFonts w:ascii="Calibri" w:hAnsi="Calibri"/>
        </w:rPr>
        <w:t xml:space="preserve">t</w:t>
      </w:r>
      <w:r>
        <w:rPr>
          <w:rFonts w:ascii="Calibri" w:hAnsi="Calibri"/>
          <w:lang w:val="en-US"/>
        </w:rPr>
        <w:t xml:space="preserve">he Project Manager, </w:t>
      </w:r>
      <w:r>
        <w:rPr>
          <w:rFonts w:ascii="Calibri" w:hAnsi="Calibri"/>
          <w:lang w:val="es-ES_tradnl"/>
        </w:rPr>
        <w:t xml:space="preserve">Mariana MOJICA</w:t>
      </w:r>
      <w:r>
        <w:rPr>
          <w:rFonts w:ascii="Calibri" w:hAnsi="Calibri"/>
          <w:lang w:val="en-US"/>
        </w:rPr>
      </w:r>
    </w:p>
    <w:p>
      <w:pPr>
        <w:pStyle w:val="1243"/>
        <w:widowControl w:val="false"/>
        <w:numPr>
          <w:ilvl w:val="0"/>
          <w:numId w:val="26"/>
        </w:numPr>
        <w:pBdr>
          <w:top w:val="none" w:color="000000" w:sz="4" w:space="0"/>
          <w:left w:val="none" w:color="000000" w:sz="4" w:space="0"/>
          <w:bottom w:val="none" w:color="000000" w:sz="4" w:space="0"/>
          <w:right w:val="none" w:color="000000" w:sz="4" w:space="0"/>
          <w:between w:val="none" w:color="000000" w:sz="4" w:space="0"/>
        </w:pBdr>
        <w:spacing/>
        <w:ind/>
        <w:rPr>
          <w:rFonts w:ascii="Calibri" w:hAnsi="Calibri"/>
          <w:lang w:val="en-US"/>
        </w:rPr>
      </w:pPr>
      <w:r>
        <w:rPr>
          <w:rFonts w:ascii="Calibri" w:hAnsi="Calibri"/>
          <w:lang w:val="en-US"/>
        </w:rPr>
        <w:t xml:space="preserve">the Project Coordinator, </w:t>
      </w:r>
      <w:r>
        <w:rPr>
          <w:rFonts w:ascii="Calibri" w:hAnsi="Calibri"/>
          <w:lang w:val="es-ES_tradnl"/>
        </w:rPr>
        <w:t xml:space="preserve">Quentin DEROO</w:t>
      </w:r>
      <w:r>
        <w:rPr>
          <w:rFonts w:ascii="Calibri" w:hAnsi="Calibri"/>
          <w:lang w:val="en-US"/>
        </w:rPr>
      </w:r>
    </w:p>
    <w:p>
      <w:pPr>
        <w:pStyle w:val="1052"/>
        <w:pBdr/>
        <w:spacing w:after="60" w:before="120"/>
        <w:ind/>
        <w:jc w:val="both"/>
        <w:rPr>
          <w:rFonts w:asciiTheme="minorHAnsi" w:hAnsiTheme="minorHAnsi"/>
          <w:sz w:val="22"/>
          <w:szCs w:val="22"/>
          <w:lang w:val="en-GB"/>
        </w:rPr>
      </w:pPr>
      <w:r/>
      <w:bookmarkStart w:id="38" w:name="_Toc216881464"/>
      <w:r>
        <w:rPr>
          <w:rFonts w:asciiTheme="minorHAnsi" w:hAnsiTheme="minorHAnsi"/>
          <w:sz w:val="22"/>
          <w:szCs w:val="22"/>
          <w:lang w:val="en"/>
        </w:rPr>
        <w:t xml:space="preserve">Acceptance</w:t>
      </w:r>
      <w:bookmarkEnd w:id="36"/>
      <w:r>
        <w:rPr>
          <w:rFonts w:asciiTheme="minorHAnsi" w:hAnsiTheme="minorHAnsi"/>
          <w:sz w:val="22"/>
          <w:szCs w:val="22"/>
          <w:lang w:val="en"/>
        </w:rPr>
        <w:t xml:space="preserve"> of service</w:t>
      </w:r>
      <w:bookmarkEnd w:id="37"/>
      <w:r>
        <w:rPr>
          <w:rFonts w:asciiTheme="minorHAnsi" w:hAnsiTheme="minorHAnsi"/>
          <w:sz w:val="22"/>
          <w:szCs w:val="22"/>
          <w:lang w:val="en"/>
        </w:rPr>
        <w:t xml:space="preserve">s and supplies</w:t>
      </w:r>
      <w:bookmarkEnd w:id="38"/>
      <w:r/>
      <w:r>
        <w:rPr>
          <w:rFonts w:asciiTheme="minorHAnsi" w:hAnsiTheme="minorHAnsi"/>
          <w:sz w:val="22"/>
          <w:szCs w:val="22"/>
          <w:lang w:val="en-GB"/>
        </w:rPr>
      </w:r>
    </w:p>
    <w:p>
      <w:pPr>
        <w:pStyle w:val="1243"/>
        <w:widowControl w:val="false"/>
        <w:pBdr/>
        <w:spacing w:before="120"/>
        <w:ind w:left="561"/>
        <w:rPr>
          <w:rFonts w:cs="Arial" w:asciiTheme="minorHAnsi" w:hAnsiTheme="minorHAnsi"/>
          <w:szCs w:val="22"/>
          <w:lang w:val="en-GB"/>
        </w:rPr>
      </w:pPr>
      <w:r>
        <w:rPr>
          <w:rFonts w:cs="Arial" w:asciiTheme="minorHAnsi" w:hAnsiTheme="minorHAnsi"/>
          <w:szCs w:val="22"/>
          <w:lang w:val="en"/>
        </w:rPr>
        <w:t xml:space="preserve">By way of derogation from Article 25 of the CCAG-FCS, acceptance activities will be carried out by:</w:t>
      </w:r>
      <w:r>
        <w:rPr>
          <w:rFonts w:cs="Arial" w:asciiTheme="minorHAnsi" w:hAnsiTheme="minorHAnsi"/>
          <w:szCs w:val="22"/>
          <w:lang w:val="en-GB"/>
        </w:rPr>
      </w:r>
    </w:p>
    <w:p>
      <w:pPr>
        <w:pStyle w:val="1243"/>
        <w:widowControl w:val="false"/>
        <w:numPr>
          <w:ilvl w:val="0"/>
          <w:numId w:val="26"/>
        </w:numPr>
        <w:pBdr>
          <w:top w:val="none" w:color="000000" w:sz="4" w:space="0"/>
          <w:left w:val="none" w:color="000000" w:sz="4" w:space="0"/>
          <w:bottom w:val="none" w:color="000000" w:sz="4" w:space="0"/>
          <w:right w:val="none" w:color="000000" w:sz="4" w:space="0"/>
          <w:between w:val="none" w:color="000000" w:sz="4" w:space="0"/>
        </w:pBdr>
        <w:spacing/>
        <w:ind/>
        <w:rPr>
          <w:rFonts w:ascii="Calibri" w:hAnsi="Calibri"/>
          <w:lang w:val="en-US"/>
        </w:rPr>
      </w:pPr>
      <w:r>
        <w:rPr>
          <w:rStyle w:val="1295"/>
          <w:rFonts w:ascii="Calibri" w:hAnsi="Calibri"/>
        </w:rPr>
        <w:t xml:space="preserve">the </w:t>
      </w:r>
      <w:r>
        <w:rPr>
          <w:rStyle w:val="1295"/>
          <w:rFonts w:ascii="Calibri" w:hAnsi="Calibri"/>
          <w:lang w:val="es-ES_tradnl"/>
        </w:rPr>
        <w:t xml:space="preserve">Project Manager, Mariana MOJICA </w:t>
      </w:r>
      <w:r>
        <w:rPr>
          <w:rFonts w:ascii="Calibri" w:hAnsi="Calibri"/>
          <w:lang w:val="en-US"/>
        </w:rPr>
      </w:r>
    </w:p>
    <w:p>
      <w:pPr>
        <w:pStyle w:val="1243"/>
        <w:widowControl w:val="false"/>
        <w:numPr>
          <w:ilvl w:val="0"/>
          <w:numId w:val="26"/>
        </w:numPr>
        <w:pBdr>
          <w:top w:val="none" w:color="000000" w:sz="4" w:space="0"/>
          <w:left w:val="none" w:color="000000" w:sz="4" w:space="0"/>
          <w:bottom w:val="none" w:color="000000" w:sz="4" w:space="0"/>
          <w:right w:val="none" w:color="000000" w:sz="4" w:space="0"/>
          <w:between w:val="none" w:color="000000" w:sz="4" w:space="0"/>
        </w:pBdr>
        <w:spacing/>
        <w:ind/>
        <w:rPr>
          <w:rFonts w:ascii="Calibri" w:hAnsi="Calibri"/>
          <w:lang w:val="en-US"/>
        </w:rPr>
      </w:pPr>
      <w:r>
        <w:rPr>
          <w:rStyle w:val="1295"/>
          <w:rFonts w:ascii="Calibri" w:hAnsi="Calibri"/>
        </w:rPr>
        <w:t xml:space="preserve">the Project Direct</w:t>
      </w:r>
      <w:r>
        <w:rPr>
          <w:rStyle w:val="1295"/>
          <w:rFonts w:ascii="Calibri" w:hAnsi="Calibri"/>
          <w:lang w:val="es-ES_tradnl"/>
        </w:rPr>
        <w:t xml:space="preserve">or, Quentin DEROO</w:t>
      </w:r>
      <w:r>
        <w:rPr>
          <w:rFonts w:ascii="Calibri" w:hAnsi="Calibri"/>
          <w:lang w:val="en-US"/>
        </w:rPr>
      </w:r>
    </w:p>
    <w:p>
      <w:pPr>
        <w:pStyle w:val="1243"/>
        <w:widowControl w:val="false"/>
        <w:pBdr/>
        <w:spacing w:before="120"/>
        <w:ind w:left="561"/>
        <w:rPr>
          <w:rFonts w:cs="Arial" w:asciiTheme="minorHAnsi" w:hAnsiTheme="minorHAnsi"/>
          <w:szCs w:val="22"/>
          <w:lang w:val="en"/>
        </w:rPr>
      </w:pPr>
      <w:r>
        <w:rPr>
          <w:rFonts w:cs="Arial" w:asciiTheme="minorHAnsi" w:hAnsiTheme="minorHAnsi"/>
          <w:szCs w:val="22"/>
          <w:lang w:val="en"/>
        </w:rPr>
        <w:t xml:space="preserve">Any lack of response from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not equate to tacit acceptance of services or supplies.</w:t>
      </w:r>
      <w:r>
        <w:rPr>
          <w:rFonts w:cs="Arial" w:asciiTheme="minorHAnsi" w:hAnsiTheme="minorHAnsi"/>
          <w:szCs w:val="22"/>
          <w:lang w:val="en"/>
        </w:rPr>
      </w:r>
    </w:p>
    <w:p>
      <w:pPr>
        <w:pStyle w:val="1244"/>
        <w:widowControl w:val="false"/>
        <w:numPr>
          <w:ilvl w:val="0"/>
          <w:numId w:val="6"/>
        </w:numPr>
        <w:pBdr/>
        <w:tabs>
          <w:tab w:val="left" w:leader="none" w:pos="1276"/>
        </w:tabs>
        <w:spacing w:after="240" w:before="600"/>
        <w:ind w:hanging="357" w:left="357"/>
        <w:jc w:val="left"/>
        <w:outlineLvl w:val="0"/>
        <w:rPr>
          <w:rFonts w:asciiTheme="minorHAnsi" w:hAnsiTheme="minorHAnsi"/>
          <w:b/>
          <w:caps/>
          <w:sz w:val="24"/>
          <w:u w:val="single"/>
        </w:rPr>
      </w:pPr>
      <w:r/>
      <w:bookmarkStart w:id="39" w:name="_Toc216881465"/>
      <w:r>
        <w:rPr>
          <w:rFonts w:asciiTheme="minorHAnsi" w:hAnsiTheme="minorHAnsi"/>
          <w:b/>
          <w:bCs/>
          <w:caps/>
          <w:sz w:val="24"/>
          <w:u w:val="single"/>
          <w:lang w:val="en"/>
        </w:rPr>
        <w:t xml:space="preserve">Specific terms of execution</w:t>
      </w:r>
      <w:bookmarkEnd w:id="39"/>
      <w:r/>
      <w:r>
        <w:rPr>
          <w:rFonts w:asciiTheme="minorHAnsi" w:hAnsiTheme="minorHAnsi"/>
          <w:b/>
          <w:caps/>
          <w:sz w:val="24"/>
          <w:u w:val="single"/>
        </w:rPr>
      </w:r>
    </w:p>
    <w:p>
      <w:pPr>
        <w:pStyle w:val="1052"/>
        <w:pBdr/>
        <w:spacing w:after="60" w:before="120"/>
        <w:ind/>
        <w:rPr>
          <w:rFonts w:asciiTheme="minorHAnsi" w:hAnsiTheme="minorHAnsi" w:cstheme="minorHAnsi"/>
          <w:sz w:val="22"/>
          <w:szCs w:val="22"/>
        </w:rPr>
      </w:pPr>
      <w:r/>
      <w:bookmarkStart w:id="40" w:name="_Toc216881466"/>
      <w:r/>
      <w:bookmarkStart w:id="41" w:name="_Toc392669643"/>
      <w:r>
        <w:rPr>
          <w:rFonts w:asciiTheme="minorHAnsi" w:hAnsiTheme="minorHAnsi" w:cstheme="minorHAnsi"/>
          <w:sz w:val="22"/>
          <w:szCs w:val="22"/>
          <w:lang w:val="en"/>
        </w:rPr>
        <w:t xml:space="preserve">Deliverables table</w:t>
      </w:r>
      <w:bookmarkEnd w:id="40"/>
      <w:r/>
      <w:r>
        <w:rPr>
          <w:rFonts w:asciiTheme="minorHAnsi" w:hAnsiTheme="minorHAnsi" w:cstheme="minorHAnsi"/>
          <w:sz w:val="22"/>
          <w:szCs w:val="22"/>
        </w:rPr>
      </w:r>
    </w:p>
    <w:tbl>
      <w:tblPr>
        <w:tblStyle w:val="1294"/>
        <w:tblW w:w="974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Look w:val="04A0" w:firstRow="1" w:lastRow="0" w:firstColumn="1" w:lastColumn="0" w:noHBand="0" w:noVBand="1"/>
      </w:tblPr>
      <w:tblGrid>
        <w:gridCol w:w="596"/>
        <w:gridCol w:w="7229"/>
        <w:gridCol w:w="1915"/>
      </w:tblGrid>
      <w:tr>
        <w:trPr>
          <w:trHeight w:val="340"/>
        </w:trPr>
        <w:tc>
          <w:tcPr>
            <w:gridSpan w:val="3"/>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9740" w:type="dxa"/>
            <w:vAlign w:val="center"/>
            <w:textDirection w:val="lrTb"/>
            <w:noWrap w:val="false"/>
          </w:tcPr>
          <w:p>
            <w:pPr>
              <w:pStyle w:val="1243"/>
              <w:widowControl w:val="false"/>
              <w:pBdr/>
              <w:spacing/>
              <w:ind w:left="0"/>
              <w:jc w:val="center"/>
              <w:rPr>
                <w:b/>
              </w:rPr>
            </w:pPr>
            <w:r/>
            <w:bookmarkStart w:id="42" w:name="_Toc392669642"/>
            <w:r/>
            <w:bookmarkStart w:id="43" w:name="_Toc392669644"/>
            <w:r/>
            <w:bookmarkEnd w:id="41"/>
            <w:r>
              <w:rPr>
                <w:rStyle w:val="1297"/>
                <w:rFonts w:ascii="Calibri" w:hAnsi="Calibri"/>
                <w:b/>
                <w:sz w:val="20"/>
                <w:lang w:val="en-US"/>
              </w:rPr>
              <w:t xml:space="preserve">Final deliverables</w:t>
            </w:r>
            <w:r>
              <w:rPr>
                <w:b/>
              </w:rPr>
            </w:r>
          </w:p>
        </w:tc>
      </w:tr>
      <w:tr>
        <w:trPr>
          <w:trHeight w:val="340"/>
        </w:trPr>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596" w:type="dxa"/>
            <w:vAlign w:val="center"/>
            <w:textDirection w:val="lrTb"/>
            <w:noWrap w:val="false"/>
          </w:tcPr>
          <w:p>
            <w:pPr>
              <w:pStyle w:val="1243"/>
              <w:widowControl w:val="false"/>
              <w:pBdr/>
              <w:spacing/>
              <w:ind w:left="0"/>
              <w:jc w:val="center"/>
              <w:rPr>
                <w:b/>
              </w:rPr>
            </w:pPr>
            <w:r>
              <w:rPr>
                <w:rStyle w:val="1297"/>
                <w:rFonts w:ascii="Calibri" w:hAnsi="Calibri"/>
                <w:b/>
                <w:sz w:val="20"/>
                <w:lang w:val="en-US"/>
              </w:rPr>
              <w:t xml:space="preserve">Item</w:t>
            </w:r>
            <w:r>
              <w:rPr>
                <w:b/>
              </w:rP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7229" w:type="dxa"/>
            <w:vAlign w:val="center"/>
            <w:textDirection w:val="lrTb"/>
            <w:noWrap w:val="false"/>
          </w:tcPr>
          <w:p>
            <w:pPr>
              <w:pStyle w:val="1243"/>
              <w:widowControl w:val="false"/>
              <w:pBdr/>
              <w:spacing/>
              <w:ind w:left="0"/>
              <w:jc w:val="center"/>
              <w:rPr>
                <w:b/>
              </w:rPr>
            </w:pPr>
            <w:r>
              <w:rPr>
                <w:rStyle w:val="1297"/>
                <w:rFonts w:ascii="Calibri" w:hAnsi="Calibri"/>
                <w:b/>
                <w:sz w:val="20"/>
                <w:lang w:val="en-US"/>
              </w:rPr>
              <w:t xml:space="preserve">Deliverable</w:t>
            </w:r>
            <w:r>
              <w:rPr>
                <w:b/>
              </w:rP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1915" w:type="dxa"/>
            <w:vAlign w:val="center"/>
            <w:textDirection w:val="lrTb"/>
            <w:noWrap w:val="false"/>
          </w:tcPr>
          <w:p>
            <w:pPr>
              <w:pStyle w:val="1243"/>
              <w:widowControl w:val="false"/>
              <w:pBdr/>
              <w:spacing/>
              <w:ind w:left="0"/>
              <w:jc w:val="center"/>
              <w:rPr>
                <w:b/>
              </w:rPr>
            </w:pPr>
            <w:r>
              <w:rPr>
                <w:rStyle w:val="1297"/>
                <w:rFonts w:ascii="Calibri" w:hAnsi="Calibri"/>
                <w:b/>
                <w:sz w:val="20"/>
                <w:lang w:val="en-US"/>
              </w:rPr>
              <w:t xml:space="preserve">Deliverable submission deadline</w:t>
            </w:r>
            <w:r>
              <w:rPr>
                <w:b/>
              </w:rPr>
            </w:r>
          </w:p>
        </w:tc>
      </w:tr>
      <w:tr>
        <w:trPr>
          <w:trHeight w:val="340"/>
        </w:trPr>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596"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1</w:t>
            </w: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7229" w:type="dxa"/>
            <w:vAlign w:val="center"/>
            <w:textDirection w:val="lrTb"/>
            <w:noWrap w:val="false"/>
          </w:tcPr>
          <w:p>
            <w:pPr>
              <w:pStyle w:val="1290"/>
              <w:pBdr/>
              <w:tabs>
                <w:tab w:val="left" w:leader="none" w:pos="720"/>
                <w:tab w:val="left" w:leader="none" w:pos="1440"/>
                <w:tab w:val="left" w:leader="none" w:pos="2160"/>
                <w:tab w:val="left" w:leader="none" w:pos="2880"/>
                <w:tab w:val="left" w:leader="none" w:pos="3600"/>
                <w:tab w:val="left" w:leader="none" w:pos="4320"/>
                <w:tab w:val="left" w:leader="none" w:pos="5040"/>
              </w:tabs>
              <w:spacing w:line="240" w:lineRule="auto"/>
              <w:ind/>
              <w:rPr>
                <w:lang w:val="pt-BR"/>
              </w:rPr>
            </w:pPr>
            <w:r>
              <w:rPr>
                <w:rFonts w:ascii="Calibri" w:hAnsi="Calibri"/>
                <w:lang w:val="en-GB"/>
              </w:rPr>
              <w:t xml:space="preserve">Project work plan. The work plan should clearly outline how gender perspectives will be integrated into activities, tools, timelines, indicators, and consultation processes. </w:t>
            </w:r>
            <w:r>
              <w:rPr>
                <w:rFonts w:ascii="Calibri" w:hAnsi="Calibri"/>
                <w:lang w:val="pt-BR"/>
              </w:rPr>
              <w:t xml:space="preserve">(“</w:t>
            </w:r>
            <w:r>
              <w:rPr>
                <w:rStyle w:val="1297"/>
                <w:rFonts w:ascii="Calibri" w:hAnsi="Calibri"/>
                <w:i/>
                <w:iCs/>
                <w:lang w:val="pt-BR"/>
              </w:rPr>
              <w:t xml:space="preserve">Plano de trabalho do projeto. O plano de trabalho deverá apresentar claramente como a perspectiva de gênero será integrada nas atividades, instrumentos, cronograma, indicadores e processos de consulta.”</w:t>
            </w:r>
            <w:r>
              <w:rPr>
                <w:rStyle w:val="1297"/>
                <w:rFonts w:ascii="Calibri" w:hAnsi="Calibri"/>
                <w:lang w:val="pt-BR"/>
              </w:rPr>
              <w:t xml:space="preserve">)</w:t>
            </w:r>
            <w:r>
              <w:rPr>
                <w:lang w:val="pt-BR"/>
              </w:rP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1915"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T0 + 15 calendar days</w:t>
            </w:r>
            <w:r/>
          </w:p>
        </w:tc>
      </w:tr>
      <w:tr>
        <w:trPr>
          <w:trHeight w:val="340"/>
        </w:trPr>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596"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2</w:t>
            </w: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7229" w:type="dxa"/>
            <w:vAlign w:val="center"/>
            <w:textDirection w:val="lrTb"/>
            <w:noWrap w:val="false"/>
          </w:tcPr>
          <w:p>
            <w:pPr>
              <w:pStyle w:val="1290"/>
              <w:pBdr/>
              <w:tabs>
                <w:tab w:val="left" w:leader="none" w:pos="720"/>
                <w:tab w:val="left" w:leader="none" w:pos="1440"/>
                <w:tab w:val="left" w:leader="none" w:pos="2160"/>
                <w:tab w:val="left" w:leader="none" w:pos="2880"/>
                <w:tab w:val="left" w:leader="none" w:pos="3600"/>
                <w:tab w:val="left" w:leader="none" w:pos="4320"/>
                <w:tab w:val="left" w:leader="none" w:pos="5040"/>
              </w:tabs>
              <w:spacing w:line="240" w:lineRule="auto"/>
              <w:ind/>
              <w:rPr>
                <w:lang w:val="pt-BR"/>
              </w:rPr>
            </w:pPr>
            <w:r>
              <w:rPr>
                <w:rFonts w:ascii="Calibri" w:hAnsi="Calibri"/>
                <w:lang w:val="en-GB"/>
              </w:rPr>
              <w:t xml:space="preserve">Updated diagnosis of the functioning of interinstitutional and multilevel governance and coordination elements for climate risk and disaster management (preventi</w:t>
            </w:r>
            <w:r>
              <w:rPr>
                <w:rFonts w:ascii="Calibri" w:hAnsi="Calibri"/>
                <w:lang w:val="en-GB"/>
              </w:rPr>
              <w:t xml:space="preserve">on, mitigation, preparedness, response, and recovery) in the municipality of Cruzeiro do Sul, Rio Grande do Sul, during and after the 2024 disaster. This document will serve as a baseline. The diagnosis should include: gender analysis applied to DRM, ident</w:t>
            </w:r>
            <w:r>
              <w:rPr>
                <w:rFonts w:ascii="Calibri" w:hAnsi="Calibri"/>
                <w:lang w:val="en-GB"/>
              </w:rPr>
              <w:t xml:space="preserve">ification of gaps in female participation, analysis of the differentiated impacts of the 2024 floods on women, girls, and vulnerable groups, mapping of services, policies, and institutional capacities to address gender-based violence in disaster contexts. </w:t>
            </w:r>
            <w:r>
              <w:rPr>
                <w:rFonts w:ascii="Calibri" w:hAnsi="Calibri"/>
                <w:lang w:val="pt-BR"/>
              </w:rPr>
              <w:t xml:space="preserve">(“</w:t>
            </w:r>
            <w:r>
              <w:rPr>
                <w:rFonts w:ascii="Calibri" w:hAnsi="Calibri"/>
                <w:i/>
                <w:iCs/>
                <w:lang w:val="pt-BR"/>
              </w:rPr>
              <w:t xml:space="preserve">Diagnóstico atualizado do funcionamento dos elementos de governança e coordenação da gestão de riscos e de desastres climáticos (prevenção, mitigação, preparação, resposta e recuperação)</w:t>
            </w:r>
            <w:r>
              <w:rPr>
                <w:rFonts w:ascii="Calibri" w:hAnsi="Calibri"/>
                <w:i/>
                <w:iCs/>
                <w:lang w:val="pt-BR"/>
              </w:rPr>
              <w:t xml:space="preserve">, interinstitucionais e multiníveis, situação do município de Cruzeiro do Sul/RS durante e após o desastre de 2024. Este documento servirá como linha de base. O diagnóstico deve incluir: análise de gênero aplicada à GRD, identificação das lacunas de partic</w:t>
            </w:r>
            <w:r>
              <w:rPr>
                <w:rFonts w:ascii="Calibri" w:hAnsi="Calibri"/>
                <w:i/>
                <w:iCs/>
                <w:lang w:val="pt-BR"/>
              </w:rPr>
              <w:t xml:space="preserve">ipação feminina, análise dos impactos diferenciados das enchentes de 2024 sobre mulheres, meninas e grupos vulneráveis, mapeamento de serviços, políticas e capacidades institucionais de enfrentamento à violência baseada em gênero em contextos de desastre.”</w:t>
            </w:r>
            <w:r>
              <w:rPr>
                <w:rFonts w:ascii="Calibri" w:hAnsi="Calibri"/>
                <w:lang w:val="pt-BR"/>
              </w:rPr>
              <w:t xml:space="preserve">) </w:t>
            </w:r>
            <w:r>
              <w:rPr>
                <w:lang w:val="pt-BR"/>
              </w:rP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1915"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T0 + 2 calendar months</w:t>
            </w:r>
            <w:r/>
          </w:p>
        </w:tc>
      </w:tr>
      <w:tr>
        <w:trPr>
          <w:trHeight w:val="340"/>
        </w:trPr>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596"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3</w:t>
            </w: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7229" w:type="dxa"/>
            <w:vAlign w:val="center"/>
            <w:textDirection w:val="lrTb"/>
            <w:noWrap w:val="false"/>
          </w:tcPr>
          <w:p>
            <w:pPr>
              <w:pStyle w:val="1290"/>
              <w:pBdr/>
              <w:tabs>
                <w:tab w:val="left" w:leader="none" w:pos="720"/>
                <w:tab w:val="left" w:leader="none" w:pos="1440"/>
                <w:tab w:val="left" w:leader="none" w:pos="2160"/>
                <w:tab w:val="left" w:leader="none" w:pos="2880"/>
                <w:tab w:val="left" w:leader="none" w:pos="3600"/>
                <w:tab w:val="left" w:leader="none" w:pos="4320"/>
                <w:tab w:val="left" w:leader="none" w:pos="5040"/>
              </w:tabs>
              <w:spacing w:line="240" w:lineRule="auto"/>
              <w:ind/>
              <w:rPr>
                <w:rFonts w:ascii="Calibri" w:hAnsi="Calibri"/>
                <w:lang w:val="en-GB"/>
              </w:rPr>
            </w:pPr>
            <w:r>
              <w:rPr>
                <w:rFonts w:ascii="Calibri" w:hAnsi="Calibri"/>
                <w:lang w:val="en-GB"/>
              </w:rPr>
              <w:t xml:space="preserve">Proposal for a methodology for multilevel interinstitutional governance and coordination for risk and disaster management (focusing on the municipality of Cruzeiro do Sul/RS). It should be aligned with existing policies, complement the tools and i</w:t>
            </w:r>
            <w:r>
              <w:rPr>
                <w:rFonts w:ascii="Calibri" w:hAnsi="Calibri"/>
                <w:lang w:val="en-GB"/>
              </w:rPr>
              <w:t xml:space="preserve">nstruments available to the municipality, institutionalize/standardize practices, and mainstream a gender perspective. The methodology should: include gender principles, tools, and indicators; propose mechanisms that increase women's participation in gover</w:t>
            </w:r>
            <w:r>
              <w:rPr>
                <w:rFonts w:ascii="Calibri" w:hAnsi="Calibri"/>
                <w:lang w:val="en-GB"/>
              </w:rPr>
              <w:t xml:space="preserve">nance processes; provide specific guidelines for gender-based risk reduction; and be consistent with national regulations (National Civil Protection and Defense Policy; National Adaptation Plan; Climate Plan) that recognize social and gender inequalities. </w:t>
            </w:r>
            <w:r>
              <w:rPr>
                <w:rFonts w:ascii="Calibri" w:hAnsi="Calibri"/>
                <w:lang w:val="en-GB"/>
              </w:rPr>
            </w:r>
          </w:p>
          <w:p>
            <w:pPr>
              <w:pStyle w:val="1290"/>
              <w:pBdr/>
              <w:tabs>
                <w:tab w:val="left" w:leader="none" w:pos="720"/>
                <w:tab w:val="left" w:leader="none" w:pos="1440"/>
                <w:tab w:val="left" w:leader="none" w:pos="2160"/>
                <w:tab w:val="left" w:leader="none" w:pos="2880"/>
                <w:tab w:val="left" w:leader="none" w:pos="3600"/>
                <w:tab w:val="left" w:leader="none" w:pos="4320"/>
                <w:tab w:val="left" w:leader="none" w:pos="5040"/>
              </w:tabs>
              <w:spacing w:line="240" w:lineRule="auto"/>
              <w:ind/>
              <w:rPr>
                <w:lang w:val="pt-BR"/>
              </w:rPr>
            </w:pPr>
            <w:r>
              <w:rPr>
                <w:rFonts w:ascii="Calibri" w:hAnsi="Calibri"/>
                <w:lang w:val="pt-BR"/>
              </w:rPr>
              <w:t xml:space="preserve">(</w:t>
            </w:r>
            <w:r>
              <w:rPr>
                <w:rStyle w:val="1297"/>
                <w:rFonts w:ascii="Calibri" w:hAnsi="Calibri"/>
                <w:i/>
                <w:iCs/>
                <w:lang w:val="pt-BR"/>
              </w:rPr>
              <w:t xml:space="preserve">“Proposta de metodologia de </w:t>
            </w:r>
            <w:r>
              <w:rPr>
                <w:rStyle w:val="1297"/>
                <w:rFonts w:ascii="Calibri" w:hAnsi="Calibri"/>
                <w:i/>
                <w:iCs/>
                <w:lang w:val="pt-BR"/>
              </w:rPr>
              <w:t xml:space="preserve">governança e coordenação interinstitucional multinível para a gestão de riscos e de desastres (com foco no município de Cruzeiro do Sul/RS). Deve estar alinhada com as políticas existentes, complementar as ferramentas e os instrumentos disponíveis para o m</w:t>
            </w:r>
            <w:r>
              <w:rPr>
                <w:rStyle w:val="1297"/>
                <w:rFonts w:ascii="Calibri" w:hAnsi="Calibri"/>
                <w:i/>
                <w:iCs/>
                <w:lang w:val="pt-BR"/>
              </w:rPr>
              <w:t xml:space="preserve">unicípio, institucionalizar/padronizar práticas, e transversalizar uma perspectiva de gênero. A metodologia deverá: incluir princípios, ferramentas e indicadores de gênero, propor mecanismos que ampliem a participação de mulheres nos processos de governanç</w:t>
            </w:r>
            <w:r>
              <w:rPr>
                <w:rStyle w:val="1297"/>
                <w:rFonts w:ascii="Calibri" w:hAnsi="Calibri"/>
                <w:i/>
                <w:iCs/>
                <w:lang w:val="pt-BR"/>
              </w:rPr>
              <w:t xml:space="preserve">a, prever diretrizes específicas para redução de riscos com recorte de gênero, articular-se com normativas nacionais (Política Nacional de Proteção e Defesa Civil; Plano Nacional de Adaptação; Plano Clima) que reconhecem desigualdades sociais e de gênero.”</w:t>
            </w:r>
            <w:r>
              <w:rPr>
                <w:rStyle w:val="1297"/>
                <w:rFonts w:ascii="Calibri" w:hAnsi="Calibri"/>
                <w:lang w:val="pt-BR"/>
              </w:rPr>
              <w:t xml:space="preserve">)</w:t>
            </w:r>
            <w:r>
              <w:rPr>
                <w:lang w:val="pt-BR"/>
              </w:rP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1915"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T0 + 2 calendar months</w:t>
            </w:r>
            <w:r/>
          </w:p>
        </w:tc>
      </w:tr>
      <w:tr>
        <w:trPr>
          <w:trHeight w:val="340"/>
        </w:trPr>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596"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4</w:t>
            </w: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7229" w:type="dxa"/>
            <w:vAlign w:val="center"/>
            <w:textDirection w:val="lrTb"/>
            <w:noWrap w:val="false"/>
          </w:tcPr>
          <w:p>
            <w:pPr>
              <w:pStyle w:val="1290"/>
              <w:pBdr/>
              <w:tabs>
                <w:tab w:val="left" w:leader="none" w:pos="720"/>
                <w:tab w:val="left" w:leader="none" w:pos="1440"/>
                <w:tab w:val="left" w:leader="none" w:pos="2160"/>
                <w:tab w:val="left" w:leader="none" w:pos="2880"/>
                <w:tab w:val="left" w:leader="none" w:pos="3600"/>
                <w:tab w:val="left" w:leader="none" w:pos="4320"/>
                <w:tab w:val="left" w:leader="none" w:pos="5040"/>
              </w:tabs>
              <w:spacing w:line="240" w:lineRule="auto"/>
              <w:ind/>
              <w:rPr>
                <w:rFonts w:ascii="Calibri" w:hAnsi="Calibri"/>
                <w:lang w:val="en-US"/>
              </w:rPr>
            </w:pPr>
            <w:r>
              <w:rPr>
                <w:rFonts w:ascii="Calibri" w:hAnsi="Calibri"/>
                <w:lang w:val="en-US"/>
              </w:rPr>
              <w:t xml:space="preserve">Report on the pilot implementation of the methodology for multilevel interinstitutional governance and coordination for risk and disaster management (focusing on the municipality of Cruzeiro do Sul/RS). The report should contain: analy</w:t>
            </w:r>
            <w:r>
              <w:rPr>
                <w:rFonts w:ascii="Calibri" w:hAnsi="Calibri"/>
                <w:lang w:val="en-US"/>
              </w:rPr>
              <w:t xml:space="preserve">sis of the results obtained, focusing on the advances and challenges of incorporating a gender perspective; assessment of the effective participation of women and vulnerable groups in the activities; documentation of good practices that can be replicated. </w:t>
            </w:r>
            <w:r>
              <w:rPr>
                <w:rFonts w:ascii="Calibri" w:hAnsi="Calibri"/>
                <w:lang w:val="en-US"/>
              </w:rPr>
            </w:r>
          </w:p>
          <w:p>
            <w:pPr>
              <w:pStyle w:val="1290"/>
              <w:pBdr/>
              <w:tabs>
                <w:tab w:val="left" w:leader="none" w:pos="720"/>
                <w:tab w:val="left" w:leader="none" w:pos="1440"/>
                <w:tab w:val="left" w:leader="none" w:pos="2160"/>
                <w:tab w:val="left" w:leader="none" w:pos="2880"/>
                <w:tab w:val="left" w:leader="none" w:pos="3600"/>
                <w:tab w:val="left" w:leader="none" w:pos="4320"/>
                <w:tab w:val="left" w:leader="none" w:pos="5040"/>
              </w:tabs>
              <w:spacing w:line="240" w:lineRule="auto"/>
              <w:ind/>
              <w:rPr>
                <w:rStyle w:val="1297"/>
                <w:rFonts w:ascii="Calibri" w:hAnsi="Calibri"/>
                <w:bCs/>
                <w:i/>
                <w:lang w:val="pt-BR"/>
              </w:rPr>
            </w:pPr>
            <w:r>
              <w:rPr>
                <w:rFonts w:ascii="Calibri" w:hAnsi="Calibri"/>
                <w:lang w:val="pt-BR"/>
              </w:rPr>
              <w:t xml:space="preserve">(</w:t>
            </w:r>
            <w:r>
              <w:rPr>
                <w:rStyle w:val="1297"/>
                <w:rFonts w:ascii="Calibri" w:hAnsi="Calibri"/>
                <w:i/>
                <w:iCs/>
                <w:lang w:val="pt-BR"/>
              </w:rPr>
              <w:t xml:space="preserve">“Relatório da implementação piloto da metodologia de governança e coordenação interinstitucional multinível para a gestão de riscos e de desastres (com foco no município de Cruzeiro do Sul/RS). O relatório de</w:t>
            </w:r>
            <w:r>
              <w:rPr>
                <w:rStyle w:val="1297"/>
                <w:rFonts w:ascii="Calibri" w:hAnsi="Calibri"/>
                <w:i/>
                <w:iCs/>
                <w:lang w:val="pt-BR"/>
              </w:rPr>
              <w:t xml:space="preserve">verá conter: análise dos resultados obtidos com foco nos avanços e desafios da incorporação do enfoque de gênero, avaliação da efetiva participação de mulheres e grupos vulneráveis nas atividades, documentação de boas práticas que possam ser replicáveis.”)</w:t>
            </w:r>
            <w:r>
              <w:rPr>
                <w:rStyle w:val="1297"/>
                <w:rFonts w:ascii="Calibri" w:hAnsi="Calibri"/>
                <w:bCs/>
                <w:i/>
                <w:lang w:val="pt-BR"/>
              </w:rP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1915"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T0 + 4 calendar months</w:t>
            </w:r>
            <w:r/>
          </w:p>
        </w:tc>
      </w:tr>
      <w:tr>
        <w:trPr>
          <w:trHeight w:val="340"/>
        </w:trPr>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596"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5</w:t>
            </w: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7229" w:type="dxa"/>
            <w:vAlign w:val="center"/>
            <w:textDirection w:val="lrTb"/>
            <w:noWrap w:val="false"/>
          </w:tcPr>
          <w:p>
            <w:pPr>
              <w:widowControl w:val="false"/>
              <w:pBdr/>
              <w:spacing w:line="240" w:lineRule="auto"/>
              <w:ind/>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Methodology for multilevel interinstitutional governance and coordination for climate risk and disaster </w:t>
            </w:r>
            <w:r>
              <w:rPr>
                <w:rFonts w:ascii="Calibri" w:hAnsi="Calibri" w:cs="Arial Unicode MS"/>
                <w:color w:val="000000"/>
                <w:lang w:val="en-GB"/>
                <w14:textOutline w14:w="0" w14:cap="flat" w14:cmpd="sng" w14:algn="ctr">
                  <w14:noFill/>
                  <w14:prstDash w14:val="solid"/>
                  <w14:bevel/>
                </w14:textOutline>
              </w:rPr>
              <w:t xml:space="preserve">management, adjusted after implementation (with a gender perspective). It should incorporate lessons learned regarding participation and gender inclusion, proposing concrete adjustments, monitoring indicators, institutional mechanisms, and permanent tools.</w:t>
            </w:r>
            <w:r>
              <w:rPr>
                <w:rFonts w:ascii="Calibri" w:hAnsi="Calibri" w:cs="Arial Unicode MS"/>
                <w:color w:val="000000"/>
                <w:lang w:val="en-GB"/>
                <w14:textOutline w14:w="0" w14:cap="flat" w14:cmpd="sng" w14:algn="ctr">
                  <w14:noFill/>
                  <w14:prstDash w14:val="solid"/>
                  <w14:bevel/>
                </w14:textOutline>
              </w:rPr>
            </w:r>
          </w:p>
          <w:p>
            <w:pPr>
              <w:widowControl w:val="false"/>
              <w:pBdr/>
              <w:spacing w:line="240" w:lineRule="auto"/>
              <w:ind/>
              <w:rPr>
                <w:rStyle w:val="1297"/>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color w:val="000000"/>
                <w:lang w:val="pt-BR"/>
                <w14:textOutline w14:w="0" w14:cap="flat" w14:cmpd="sng" w14:algn="ctr">
                  <w14:noFill/>
                  <w14:prstDash w14:val="solid"/>
                  <w14:bevel/>
                </w14:textOutline>
              </w:rPr>
              <w:t xml:space="preserve">(</w:t>
            </w:r>
            <w:r>
              <w:rPr>
                <w:rStyle w:val="1297"/>
                <w:rFonts w:ascii="Calibri" w:hAnsi="Calibri" w:cs="Arial Unicode MS"/>
                <w:i/>
                <w:iCs/>
                <w:color w:val="000000"/>
                <w:lang w:val="pt-BR"/>
                <w14:textOutline w14:w="0" w14:cap="flat" w14:cmpd="sng" w14:algn="ctr">
                  <w14:noFill/>
                  <w14:prstDash w14:val="solid"/>
                  <w14:bevel/>
                </w14:textOutline>
              </w:rPr>
              <w:t xml:space="preserve">“Metodologia de governança e coordenação interinstitucional multinível para a gestão de riscos e de desastres climáticos ajusta</w:t>
            </w:r>
            <w:r>
              <w:rPr>
                <w:rStyle w:val="1297"/>
                <w:rFonts w:ascii="Calibri" w:hAnsi="Calibri" w:cs="Arial Unicode MS"/>
                <w:i/>
                <w:iCs/>
                <w:color w:val="000000"/>
                <w:lang w:val="pt-BR"/>
                <w14:textOutline w14:w="0" w14:cap="flat" w14:cmpd="sng" w14:algn="ctr">
                  <w14:noFill/>
                  <w14:prstDash w14:val="solid"/>
                  <w14:bevel/>
                </w14:textOutline>
              </w:rPr>
              <w:t xml:space="preserve">da após a sua implementação (com perspectiva de gênero). Deve incorporar as lições aprendidas referentes à participação e inclusão de gênero, propondo ajustes concretos, indicadores de monitoramento, mecanismos institucionais e ferramentas permanentes).”) </w:t>
            </w:r>
            <w:r>
              <w:rPr>
                <w:rStyle w:val="1297"/>
                <w:rFonts w:ascii="Calibri" w:hAnsi="Calibri" w:cs="Arial Unicode MS"/>
                <w:bCs/>
                <w:i/>
                <w:color w:val="000000"/>
                <w:lang w:val="pt-BR"/>
                <w14:textOutline w14:w="0" w14:cap="flat" w14:cmpd="sng" w14:algn="ctr">
                  <w14:noFill/>
                  <w14:prstDash w14:val="solid"/>
                  <w14:bevel/>
                </w14:textOutline>
              </w:rP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1915"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T0 + 4 calendar months</w:t>
            </w:r>
            <w:r/>
          </w:p>
        </w:tc>
      </w:tr>
      <w:tr>
        <w:trPr>
          <w:trHeight w:val="340"/>
        </w:trPr>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596"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6</w:t>
            </w: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7229" w:type="dxa"/>
            <w:vAlign w:val="center"/>
            <w:textDirection w:val="lrTb"/>
            <w:noWrap w:val="false"/>
          </w:tcPr>
          <w:p>
            <w:pPr>
              <w:widowControl w:val="false"/>
              <w:pBdr/>
              <w:spacing w:line="240" w:lineRule="auto"/>
              <w:ind/>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Guide (or document) for implementing the methodology, ensuring that the results produced can be replicated in other contexts and ultimately stren</w:t>
            </w:r>
            <w:r>
              <w:rPr>
                <w:rFonts w:ascii="Calibri" w:hAnsi="Calibri" w:cs="Arial Unicode MS"/>
                <w:color w:val="000000"/>
                <w:lang w:val="en-GB"/>
                <w14:textOutline w14:w="0" w14:cap="flat" w14:cmpd="sng" w14:algn="ctr">
                  <w14:noFill/>
                  <w14:prstDash w14:val="solid"/>
                  <w14:bevel/>
                </w14:textOutline>
              </w:rPr>
              <w:t xml:space="preserve">gthen national (federal, state, and municipal) risk and disaster management. The guide should contain a specific section on gender, including: principles, checklists, protocols, indicators, and practical recommendations for municipalities to replicate the </w:t>
            </w:r>
            <w:r>
              <w:rPr>
                <w:rFonts w:ascii="Calibri" w:hAnsi="Calibri" w:cs="Arial Unicode MS"/>
                <w:color w:val="000000"/>
                <w:lang w:val="en-GB"/>
                <w14:textOutline w14:w="0" w14:cap="flat" w14:cmpd="sng" w14:algn="ctr">
                  <w14:noFill/>
                  <w14:prstDash w14:val="solid"/>
                  <w14:bevel/>
                </w14:textOutline>
              </w:rPr>
              <w:t xml:space="preserve">approach.</w:t>
            </w:r>
            <w:r>
              <w:rPr>
                <w:rFonts w:ascii="Calibri" w:hAnsi="Calibri" w:cs="Arial Unicode MS"/>
                <w:color w:val="000000"/>
                <w:lang w:val="en-GB"/>
                <w14:textOutline w14:w="0" w14:cap="flat" w14:cmpd="sng" w14:algn="ctr">
                  <w14:noFill/>
                  <w14:prstDash w14:val="solid"/>
                  <w14:bevel/>
                </w14:textOutline>
              </w:rPr>
            </w:r>
          </w:p>
          <w:p>
            <w:pPr>
              <w:widowControl w:val="false"/>
              <w:pBdr/>
              <w:spacing w:line="240" w:lineRule="auto"/>
              <w:ind/>
              <w:rPr>
                <w:lang w:val="pt-BR"/>
              </w:rPr>
            </w:pPr>
            <w:r>
              <w:rPr>
                <w:rFonts w:ascii="Calibri" w:hAnsi="Calibri" w:cs="Arial Unicode MS"/>
                <w:color w:val="000000"/>
                <w:lang w:val="pt-BR"/>
                <w14:textOutline w14:w="0" w14:cap="flat" w14:cmpd="sng" w14:algn="ctr">
                  <w14:noFill/>
                  <w14:prstDash w14:val="solid"/>
                  <w14:bevel/>
                </w14:textOutline>
              </w:rPr>
              <w:t xml:space="preserve">(</w:t>
            </w:r>
            <w:r>
              <w:rPr>
                <w:rStyle w:val="1297"/>
                <w:rFonts w:ascii="Calibri" w:hAnsi="Calibri" w:cs="Arial Unicode MS"/>
                <w:i/>
                <w:iCs/>
                <w:color w:val="000000"/>
                <w:lang w:val="pt-BR"/>
                <w14:textOutline w14:w="0" w14:cap="flat" w14:cmpd="sng" w14:algn="ctr">
                  <w14:noFill/>
                  <w14:prstDash w14:val="solid"/>
                  <w14:bevel/>
                </w14:textOutline>
              </w:rPr>
              <w:t xml:space="preserve">“Guia (ou documento) de implementação da metodologia que garanta que os resultados produzidos possam ser replicados em outros contextos e reforcem, em última instância, a gestão nacional (f</w:t>
            </w:r>
            <w:r>
              <w:rPr>
                <w:rStyle w:val="1297"/>
                <w:rFonts w:ascii="Calibri" w:hAnsi="Calibri" w:cs="Arial Unicode MS"/>
                <w:i/>
                <w:iCs/>
                <w:color w:val="000000"/>
                <w:lang w:val="pt-BR"/>
                <w14:textOutline w14:w="0" w14:cap="flat" w14:cmpd="sng" w14:algn="ctr">
                  <w14:noFill/>
                  <w14:prstDash w14:val="solid"/>
                  <w14:bevel/>
                </w14:textOutline>
              </w:rPr>
              <w:t xml:space="preserve">ederal, estadual e municipal) de riscos e de desastres. O guia deverá conter seção específica sobre gênero, incluindo: princípios, listas de verificação (checklists), protocolos, indicadores, recomendações práticas para municípios replicarem a abordagem.”)</w:t>
            </w:r>
            <w:r>
              <w:rPr>
                <w:rFonts w:ascii="Calibri" w:hAnsi="Calibri" w:cs="Arial Unicode MS"/>
                <w:color w:val="000000"/>
                <w:lang w:val="pt-BR"/>
                <w14:textOutline w14:w="0" w14:cap="flat" w14:cmpd="sng" w14:algn="ctr">
                  <w14:noFill/>
                  <w14:prstDash w14:val="solid"/>
                  <w14:bevel/>
                </w14:textOutline>
              </w:rPr>
              <w:t xml:space="preserve"> </w:t>
            </w:r>
            <w:r>
              <w:rPr>
                <w:lang w:val="pt-BR"/>
              </w:rPr>
            </w:r>
          </w:p>
        </w:tc>
        <w:tc>
          <w:tcPr>
            <w:tcBorders>
              <w:top w:val="single" w:color="000000" w:sz="4" w:space="0"/>
              <w:left w:val="single" w:color="000000" w:sz="4" w:space="0"/>
              <w:bottom w:val="single" w:color="000000" w:sz="4" w:space="0"/>
              <w:right w:val="single" w:color="000000" w:sz="4" w:space="0"/>
            </w:tcBorders>
            <w:tcMar>
              <w:left w:w="80" w:type="dxa"/>
              <w:top w:w="80" w:type="dxa"/>
              <w:right w:w="80" w:type="dxa"/>
              <w:bottom w:w="80" w:type="dxa"/>
            </w:tcMar>
            <w:tcW w:w="1915" w:type="dxa"/>
            <w:vAlign w:val="center"/>
            <w:textDirection w:val="lrTb"/>
            <w:noWrap w:val="false"/>
          </w:tcPr>
          <w:p>
            <w:pPr>
              <w:widowControl w:val="false"/>
              <w:pBdr/>
              <w:spacing w:line="240" w:lineRule="auto"/>
              <w:ind/>
              <w:jc w:val="center"/>
              <w:rPr/>
            </w:pPr>
            <w:r>
              <w:rPr>
                <w:rFonts w:ascii="Calibri" w:hAnsi="Calibri" w:cs="Arial Unicode MS"/>
                <w:color w:val="000000"/>
                <w14:textOutline w14:w="0" w14:cap="flat" w14:cmpd="sng" w14:algn="ctr">
                  <w14:noFill/>
                  <w14:prstDash w14:val="solid"/>
                  <w14:bevel/>
                </w14:textOutline>
              </w:rPr>
              <w:t xml:space="preserve">T0 + 6 calendar months</w:t>
            </w:r>
            <w:r/>
          </w:p>
        </w:tc>
      </w:tr>
    </w:tbl>
    <w:p>
      <w:pPr>
        <w:pStyle w:val="1052"/>
        <w:pBdr/>
        <w:spacing w:after="60" w:before="120"/>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pPr>
        <w:pStyle w:val="1052"/>
        <w:pBdr/>
        <w:spacing w:after="60" w:before="120"/>
        <w:ind/>
        <w:rPr>
          <w:rFonts w:asciiTheme="minorHAnsi" w:hAnsiTheme="minorHAnsi" w:cstheme="minorHAnsi"/>
          <w:sz w:val="22"/>
          <w:szCs w:val="22"/>
          <w:lang w:val="en-GB"/>
        </w:rPr>
      </w:pPr>
      <w:r/>
      <w:bookmarkStart w:id="44" w:name="_Toc216881467"/>
      <w:r>
        <w:rPr>
          <w:rFonts w:asciiTheme="minorHAnsi" w:hAnsiTheme="minorHAnsi" w:cstheme="minorHAnsi"/>
          <w:sz w:val="22"/>
          <w:szCs w:val="22"/>
          <w:lang w:val="en"/>
        </w:rPr>
        <w:t xml:space="preserve">Expert in charge of the assignment</w:t>
      </w:r>
      <w:bookmarkEnd w:id="42"/>
      <w:r/>
      <w:bookmarkEnd w:id="44"/>
      <w:r/>
      <w:r>
        <w:rPr>
          <w:rFonts w:asciiTheme="minorHAnsi" w:hAnsiTheme="minorHAnsi" w:cstheme="minorHAnsi"/>
          <w:sz w:val="22"/>
          <w:szCs w:val="22"/>
          <w:lang w:val="en-GB"/>
        </w:rPr>
      </w:r>
    </w:p>
    <w:p>
      <w:pPr>
        <w:pStyle w:val="1244"/>
        <w:widowControl w:val="false"/>
        <w:pBdr/>
        <w:spacing w:before="120"/>
        <w:ind w:firstLine="0" w:left="556"/>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pPr>
        <w:pStyle w:val="1052"/>
        <w:pBdr/>
        <w:spacing w:after="60" w:before="120"/>
        <w:ind/>
        <w:rPr>
          <w:rFonts w:asciiTheme="minorHAnsi" w:hAnsiTheme="minorHAnsi" w:cstheme="minorHAnsi"/>
          <w:sz w:val="22"/>
          <w:szCs w:val="22"/>
          <w:lang w:val="en-GB"/>
        </w:rPr>
      </w:pPr>
      <w:r/>
      <w:bookmarkStart w:id="45" w:name="_Toc216881468"/>
      <w:r>
        <w:rPr>
          <w:rFonts w:asciiTheme="minorHAnsi" w:hAnsiTheme="minorHAnsi" w:cstheme="minorHAnsi"/>
          <w:sz w:val="22"/>
          <w:szCs w:val="22"/>
          <w:lang w:val="en"/>
        </w:rPr>
        <w:t xml:space="preserve">Place of execution</w:t>
      </w:r>
      <w:bookmarkEnd w:id="43"/>
      <w:r/>
      <w:bookmarkEnd w:id="45"/>
      <w:r/>
      <w:r>
        <w:rPr>
          <w:rFonts w:asciiTheme="minorHAnsi" w:hAnsiTheme="minorHAnsi" w:cstheme="minorHAnsi"/>
          <w:sz w:val="22"/>
          <w:szCs w:val="22"/>
          <w:lang w:val="en-GB"/>
        </w:rPr>
      </w:r>
    </w:p>
    <w:p>
      <w:pPr>
        <w:pStyle w:val="1243"/>
        <w:widowControl w:val="false"/>
        <w:pBdr/>
        <w:spacing w:before="120"/>
        <w:ind w:left="561"/>
        <w:rPr>
          <w:rStyle w:val="1297"/>
          <w:rFonts w:ascii="Calibri" w:hAnsi="Calibri" w:eastAsia="Calibri" w:cs="Calibri"/>
          <w:lang w:val="en-GB"/>
        </w:rPr>
      </w:pPr>
      <w:r>
        <w:rPr>
          <w:rStyle w:val="1298"/>
        </w:rPr>
        <w:t xml:space="preserve">The services will be performed in </w:t>
      </w:r>
      <w:r>
        <w:rPr>
          <w:rStyle w:val="1297"/>
          <w:rFonts w:ascii="Calibri" w:hAnsi="Calibri"/>
          <w:lang w:val="en-GB"/>
        </w:rPr>
        <w:t xml:space="preserve">Brazil</w:t>
      </w:r>
      <w:r>
        <w:rPr>
          <w:rStyle w:val="1297"/>
          <w:rFonts w:ascii="Calibri" w:hAnsi="Calibri"/>
          <w:lang w:val="en-US"/>
        </w:rPr>
        <w:t xml:space="preserve">.</w:t>
      </w:r>
      <w:r>
        <w:rPr>
          <w:rStyle w:val="1297"/>
          <w:rFonts w:ascii="Calibri" w:hAnsi="Calibri" w:eastAsia="Calibri" w:cs="Calibri"/>
          <w:lang w:val="en-GB"/>
        </w:rPr>
      </w:r>
    </w:p>
    <w:p>
      <w:pPr>
        <w:pStyle w:val="1052"/>
        <w:pBdr/>
        <w:spacing w:after="60" w:before="120"/>
        <w:ind/>
        <w:jc w:val="both"/>
        <w:rPr>
          <w:rFonts w:asciiTheme="minorHAnsi" w:hAnsiTheme="minorHAnsi"/>
          <w:sz w:val="22"/>
          <w:szCs w:val="22"/>
          <w:lang w:val="en-GB"/>
        </w:rPr>
      </w:pPr>
      <w:r/>
      <w:bookmarkStart w:id="46" w:name="_Toc216881469"/>
      <w:r>
        <w:rPr>
          <w:rFonts w:asciiTheme="minorHAnsi" w:hAnsiTheme="minorHAnsi"/>
          <w:sz w:val="22"/>
          <w:szCs w:val="22"/>
          <w:lang w:val="en"/>
        </w:rPr>
        <w:t xml:space="preserve">Language of the </w:t>
      </w:r>
      <w:r>
        <w:rPr>
          <w:rFonts w:asciiTheme="minorHAnsi" w:hAnsiTheme="minorHAnsi" w:cstheme="minorHAnsi"/>
          <w:smallCaps/>
          <w:sz w:val="22"/>
          <w:lang w:val="en"/>
        </w:rPr>
        <w:t xml:space="preserve">Contract</w:t>
      </w:r>
      <w:bookmarkEnd w:id="46"/>
      <w:r>
        <w:rPr>
          <w:rFonts w:asciiTheme="minorHAnsi" w:hAnsiTheme="minorHAnsi"/>
          <w:sz w:val="22"/>
          <w:szCs w:val="22"/>
          <w:lang w:val="en"/>
        </w:rPr>
        <w:t xml:space="preserve"> </w:t>
      </w:r>
      <w:r>
        <w:rPr>
          <w:rFonts w:asciiTheme="minorHAnsi" w:hAnsiTheme="minorHAnsi"/>
          <w:sz w:val="22"/>
          <w:szCs w:val="22"/>
          <w:lang w:val="en-GB"/>
        </w:rPr>
      </w:r>
    </w:p>
    <w:p>
      <w:pPr>
        <w:pStyle w:val="1244"/>
        <w:widowControl w:val="false"/>
        <w:pBdr/>
        <w:spacing w:before="120"/>
        <w:ind w:firstLine="0" w:left="556"/>
        <w:rPr>
          <w:rFonts w:cs="Arial" w:asciiTheme="minorHAnsi" w:hAnsiTheme="minorHAnsi"/>
          <w:szCs w:val="22"/>
          <w:lang w:val="en-GB"/>
        </w:rPr>
      </w:pPr>
      <w:r>
        <w:rPr>
          <w:rFonts w:cs="Arial" w:asciiTheme="minorHAnsi" w:hAnsiTheme="minorHAnsi"/>
          <w:szCs w:val="22"/>
          <w:lang w:val="en"/>
        </w:rPr>
        <w:t xml:space="preserve">This document is written in English, which shall be the reference language for any dispute that may arise regarding the meaning or interpretation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to the exclusion of any other language. </w:t>
      </w:r>
      <w:r>
        <w:rPr>
          <w:rFonts w:cs="Arial" w:asciiTheme="minorHAnsi" w:hAnsiTheme="minorHAnsi"/>
          <w:szCs w:val="22"/>
          <w:lang w:val="en-GB"/>
        </w:rPr>
      </w:r>
    </w:p>
    <w:p>
      <w:pPr>
        <w:pStyle w:val="1052"/>
        <w:pBdr/>
        <w:spacing w:after="60" w:before="120"/>
        <w:ind/>
        <w:jc w:val="both"/>
        <w:rPr>
          <w:rFonts w:asciiTheme="minorHAnsi" w:hAnsiTheme="minorHAnsi"/>
          <w:sz w:val="22"/>
          <w:szCs w:val="22"/>
          <w:lang w:val="en-GB"/>
        </w:rPr>
      </w:pPr>
      <w:r/>
      <w:bookmarkStart w:id="47" w:name="_Toc392669645"/>
      <w:r/>
      <w:bookmarkStart w:id="48" w:name="_Toc216881470"/>
      <w:r>
        <w:rPr>
          <w:rFonts w:asciiTheme="minorHAnsi" w:hAnsiTheme="minorHAnsi"/>
          <w:sz w:val="22"/>
          <w:szCs w:val="22"/>
          <w:lang w:val="en"/>
        </w:rPr>
        <w:t xml:space="preserve">Commitments of the </w:t>
      </w:r>
      <w:bookmarkEnd w:id="47"/>
      <w:r>
        <w:rPr>
          <w:rFonts w:asciiTheme="minorHAnsi" w:hAnsiTheme="minorHAnsi" w:cstheme="minorHAnsi"/>
          <w:smallCaps/>
          <w:sz w:val="22"/>
          <w:lang w:val="en"/>
        </w:rPr>
        <w:t xml:space="preserve">Contractor</w:t>
      </w:r>
      <w:bookmarkEnd w:id="48"/>
      <w:r/>
      <w:r>
        <w:rPr>
          <w:rFonts w:asciiTheme="minorHAnsi" w:hAnsiTheme="minorHAnsi"/>
          <w:sz w:val="22"/>
          <w:szCs w:val="22"/>
          <w:lang w:val="en-GB"/>
        </w:rPr>
      </w:r>
    </w:p>
    <w:p>
      <w:pPr>
        <w:pStyle w:val="124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is subject to a </w:t>
      </w:r>
      <w:r>
        <w:rPr>
          <w:rFonts w:cs="Arial" w:asciiTheme="minorHAnsi" w:hAnsiTheme="minorHAnsi"/>
          <w:szCs w:val="22"/>
          <w:u w:val="single"/>
          <w:lang w:val="en"/>
        </w:rPr>
        <w:t xml:space="preserve">performance obligation</w:t>
      </w:r>
      <w:r>
        <w:rPr>
          <w:rFonts w:cs="Arial" w:asciiTheme="minorHAnsi" w:hAnsiTheme="minorHAnsi"/>
          <w:szCs w:val="22"/>
          <w:lang w:val="en"/>
        </w:rPr>
        <w:t xml:space="preserve"> and therefore undertakes to:</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rPr>
      </w:pPr>
      <w:r>
        <w:rPr>
          <w:rFonts w:cs="Arial" w:asciiTheme="minorHAnsi" w:hAnsiTheme="minorHAnsi"/>
          <w:szCs w:val="22"/>
          <w:lang w:val="en"/>
        </w:rPr>
        <w:t xml:space="preserve">comply with the Specifications</w:t>
      </w:r>
      <w:r>
        <w:rPr>
          <w:rFonts w:cs="Arial" w:asciiTheme="minorHAnsi" w:hAnsiTheme="minorHAnsi"/>
          <w:smallCaps/>
          <w:szCs w:val="22"/>
          <w:lang w:val="en"/>
        </w:rPr>
        <w:t xml:space="preserve">;</w:t>
      </w:r>
      <w:r>
        <w:rPr>
          <w:rFonts w:cs="Arial" w:asciiTheme="minorHAnsi" w:hAnsiTheme="minorHAnsi"/>
          <w:szCs w:val="22"/>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immediately notify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in writing of any communication or instruction relating to the services/supplies that it may receive from the </w:t>
      </w:r>
      <w:r>
        <w:rPr>
          <w:rFonts w:cs="Arial" w:asciiTheme="minorHAnsi" w:hAnsiTheme="minorHAnsi"/>
          <w:smallCaps/>
          <w:szCs w:val="22"/>
          <w:lang w:val="en"/>
        </w:rPr>
        <w:t xml:space="preserve">Client</w:t>
      </w:r>
      <w:r>
        <w:rPr>
          <w:rFonts w:cs="Arial" w:asciiTheme="minorHAnsi" w:hAnsiTheme="minorHAnsi"/>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and after receiving the latter’s written authorisation;</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notify any difficulty it may encounter with the performance of its obligations under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such that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cannot be reproached in this regard by the </w:t>
      </w:r>
      <w:r>
        <w:rPr>
          <w:rFonts w:cs="Arial" w:asciiTheme="minorHAnsi" w:hAnsiTheme="minorHAnsi"/>
          <w:smallCaps/>
          <w:szCs w:val="22"/>
          <w:lang w:val="en"/>
        </w:rPr>
        <w:t xml:space="preserve">Client</w:t>
      </w:r>
      <w:r>
        <w:rPr>
          <w:rFonts w:cs="Arial" w:asciiTheme="minorHAnsi" w:hAnsiTheme="minorHAnsi"/>
          <w:szCs w:val="22"/>
          <w:lang w:val="en"/>
        </w:rPr>
        <w:t xml:space="preserve">, or by any person the latter may have designated;</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rPr>
      </w:pPr>
      <w:r>
        <w:rPr>
          <w:rFonts w:cs="Arial" w:asciiTheme="minorHAnsi" w:hAnsiTheme="minorHAnsi"/>
          <w:szCs w:val="22"/>
          <w:lang w:val="en"/>
        </w:rPr>
        <w:t xml:space="preserve">protect the interests of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w:t>
      </w:r>
      <w:r>
        <w:rPr>
          <w:rFonts w:cs="Arial" w:asciiTheme="minorHAnsi" w:hAnsiTheme="minorHAnsi"/>
          <w:szCs w:val="22"/>
        </w:rPr>
      </w:r>
    </w:p>
    <w:p>
      <w:pPr>
        <w:pStyle w:val="1243"/>
        <w:widowControl w:val="false"/>
        <w:numPr>
          <w:ilvl w:val="0"/>
          <w:numId w:val="8"/>
        </w:numPr>
        <w:pBdr/>
        <w:spacing w:before="60"/>
        <w:ind w:hanging="357" w:left="1423"/>
        <w:rPr>
          <w:rFonts w:cs="Arial" w:asciiTheme="minorHAnsi" w:hAnsiTheme="minorHAnsi"/>
          <w:szCs w:val="22"/>
        </w:rPr>
      </w:pPr>
      <w:r>
        <w:rPr>
          <w:rFonts w:cs="Arial" w:asciiTheme="minorHAnsi" w:hAnsiTheme="minorHAnsi"/>
          <w:szCs w:val="22"/>
          <w:lang w:val="en"/>
        </w:rPr>
        <w:t xml:space="preserve">act as a loyal advisor vis-à-vis </w:t>
      </w:r>
      <w:r>
        <w:rPr>
          <w:rFonts w:asciiTheme="minorHAnsi" w:hAnsiTheme="minorHAnsi" w:cstheme="minorHAnsi"/>
          <w:smallCaps/>
          <w:szCs w:val="22"/>
          <w:lang w:val="en-GB"/>
        </w:rPr>
        <w:t xml:space="preserve">Expertise France;</w:t>
      </w:r>
      <w:r>
        <w:rPr>
          <w:rFonts w:cs="Arial" w:asciiTheme="minorHAnsi" w:hAnsiTheme="minorHAnsi"/>
          <w:szCs w:val="22"/>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present itself vis-à-vis the </w:t>
      </w:r>
      <w:r>
        <w:rPr>
          <w:rFonts w:cs="Arial" w:asciiTheme="minorHAnsi" w:hAnsiTheme="minorHAnsi"/>
          <w:smallCaps/>
          <w:szCs w:val="22"/>
          <w:lang w:val="en"/>
        </w:rPr>
        <w:t xml:space="preserve">Client</w:t>
      </w:r>
      <w:r>
        <w:rPr>
          <w:rFonts w:cs="Arial" w:asciiTheme="minorHAnsi" w:hAnsiTheme="minorHAnsi"/>
          <w:szCs w:val="22"/>
          <w:lang w:val="en"/>
        </w:rPr>
        <w:t xml:space="preserve">, partners and local authorities as a </w:t>
      </w:r>
      <w:r>
        <w:rPr>
          <w:rFonts w:cs="Arial" w:asciiTheme="minorHAnsi" w:hAnsiTheme="minorHAnsi"/>
          <w:smallCaps/>
          <w:szCs w:val="22"/>
          <w:lang w:val="en"/>
        </w:rPr>
        <w:t xml:space="preserve">Contractor</w:t>
      </w:r>
      <w:r>
        <w:rPr>
          <w:rFonts w:cs="Arial" w:asciiTheme="minorHAnsi" w:hAnsiTheme="minorHAnsi"/>
          <w:szCs w:val="22"/>
          <w:lang w:val="en"/>
        </w:rPr>
        <w:t xml:space="preserve"> engaged by </w:t>
      </w: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243"/>
        <w:widowControl w:val="false"/>
        <w:numPr>
          <w:ilvl w:val="0"/>
          <w:numId w:val="8"/>
        </w:numPr>
        <w:pBdr/>
        <w:spacing w:before="60"/>
        <w:ind/>
        <w:rPr>
          <w:rFonts w:cs="Arial" w:asciiTheme="minorHAnsi" w:hAnsiTheme="minorHAnsi"/>
          <w:szCs w:val="22"/>
          <w:lang w:val="en-GB"/>
        </w:rPr>
      </w:pPr>
      <w:r>
        <w:rPr>
          <w:rFonts w:cs="Arial" w:asciiTheme="minorHAnsi" w:hAnsiTheme="minorHAnsi"/>
          <w:szCs w:val="22"/>
          <w:lang w:val="en"/>
        </w:rPr>
        <w:t xml:space="preserve">apply the undertakings of </w:t>
      </w:r>
      <w:r>
        <w:rPr>
          <w:rFonts w:cs="Arial" w:asciiTheme="minorHAnsi" w:hAnsiTheme="minorHAnsi"/>
          <w:smallCaps/>
          <w:szCs w:val="22"/>
          <w:lang w:val="en"/>
        </w:rPr>
        <w:t xml:space="preserve">Expertise France </w:t>
      </w:r>
      <w:r>
        <w:rPr>
          <w:rFonts w:cs="Arial" w:asciiTheme="minorHAnsi" w:hAnsiTheme="minorHAnsi"/>
          <w:szCs w:val="22"/>
          <w:lang w:val="en"/>
        </w:rPr>
        <w:t xml:space="preserve">as expressed in its Code of Ethics, provided in Annex 5 of the Contract.</w:t>
      </w:r>
      <w:r>
        <w:rPr>
          <w:rFonts w:cs="Arial" w:asciiTheme="minorHAnsi" w:hAnsiTheme="minorHAnsi"/>
          <w:szCs w:val="22"/>
          <w:lang w:val="en-GB"/>
        </w:rPr>
      </w:r>
    </w:p>
    <w:p>
      <w:pPr>
        <w:pStyle w:val="124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In the context of </w:t>
      </w:r>
      <w:r>
        <w:rPr>
          <w:rFonts w:cs="Arial" w:asciiTheme="minorHAnsi" w:hAnsiTheme="minorHAnsi"/>
          <w:smallCaps/>
          <w:szCs w:val="22"/>
          <w:lang w:val="en"/>
        </w:rPr>
        <w:t xml:space="preserve">Contract</w:t>
      </w:r>
      <w:r>
        <w:rPr>
          <w:rFonts w:cs="Arial" w:asciiTheme="minorHAnsi" w:hAnsiTheme="minorHAnsi"/>
          <w:szCs w:val="22"/>
          <w:lang w:val="en"/>
        </w:rPr>
        <w:t xml:space="preserve"> execution, the </w:t>
      </w:r>
      <w:r>
        <w:rPr>
          <w:rFonts w:cs="Arial" w:asciiTheme="minorHAnsi" w:hAnsiTheme="minorHAnsi"/>
          <w:smallCaps/>
          <w:szCs w:val="22"/>
          <w:lang w:val="en"/>
        </w:rPr>
        <w:t xml:space="preserve">Contractor </w:t>
      </w:r>
      <w:r>
        <w:rPr>
          <w:rFonts w:cs="Arial" w:asciiTheme="minorHAnsi" w:hAnsiTheme="minorHAnsi"/>
          <w:szCs w:val="22"/>
          <w:lang w:val="en"/>
        </w:rPr>
        <w:t xml:space="preserve">undertakes</w:t>
      </w:r>
      <w:r>
        <w:rPr>
          <w:rFonts w:cs="Arial" w:asciiTheme="minorHAnsi" w:hAnsiTheme="minorHAnsi"/>
          <w:smallCaps/>
          <w:szCs w:val="22"/>
          <w:lang w:val="en"/>
        </w:rPr>
        <w:t xml:space="preserve"> </w:t>
      </w:r>
      <w:r>
        <w:rPr>
          <w:rFonts w:cs="Arial" w:asciiTheme="minorHAnsi" w:hAnsiTheme="minorHAnsi"/>
          <w:szCs w:val="22"/>
          <w:lang w:val="en"/>
        </w:rPr>
        <w:t xml:space="preserve">to:</w:t>
      </w:r>
      <w:r>
        <w:rPr>
          <w:rFonts w:cs="Arial" w:asciiTheme="minorHAnsi" w:hAnsiTheme="minorHAnsi"/>
          <w:szCs w:val="22"/>
          <w:lang w:val="en-GB"/>
        </w:rPr>
      </w:r>
    </w:p>
    <w:p>
      <w:pPr>
        <w:pStyle w:val="1243"/>
        <w:widowControl w:val="false"/>
        <w:numPr>
          <w:ilvl w:val="0"/>
          <w:numId w:val="8"/>
        </w:numPr>
        <w:pBdr/>
        <w:spacing w:before="120"/>
        <w:ind/>
        <w:rPr>
          <w:rFonts w:cs="Arial" w:asciiTheme="minorHAnsi" w:hAnsiTheme="minorHAnsi"/>
          <w:szCs w:val="22"/>
          <w:lang w:val="en-GB"/>
        </w:rPr>
      </w:pPr>
      <w:r>
        <w:rPr>
          <w:rFonts w:cs="Arial" w:asciiTheme="minorHAnsi" w:hAnsiTheme="minorHAnsi"/>
          <w:szCs w:val="22"/>
          <w:lang w:val="en"/>
        </w:rPr>
        <w:t xml:space="preserve">perform the services/supplies in a diligent, effective and economic manner, in accordance with generally accepted techniques and practices;</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employ appropriate modern techniques and safe and affective processes.</w:t>
      </w:r>
      <w:r>
        <w:rPr>
          <w:rFonts w:cs="Arial" w:asciiTheme="minorHAnsi" w:hAnsiTheme="minorHAnsi"/>
          <w:szCs w:val="22"/>
          <w:lang w:val="en-GB"/>
        </w:rPr>
      </w:r>
    </w:p>
    <w:p>
      <w:pPr>
        <w:pStyle w:val="1052"/>
        <w:pBdr/>
        <w:spacing w:after="60" w:before="120"/>
        <w:ind/>
        <w:jc w:val="both"/>
        <w:rPr>
          <w:rFonts w:asciiTheme="minorHAnsi" w:hAnsiTheme="minorHAnsi"/>
          <w:sz w:val="22"/>
          <w:szCs w:val="22"/>
          <w:lang w:val="en-GB"/>
        </w:rPr>
      </w:pPr>
      <w:r/>
      <w:bookmarkStart w:id="49" w:name="_Toc392669646"/>
      <w:r/>
      <w:bookmarkStart w:id="50" w:name="_Toc216881471"/>
      <w:r>
        <w:rPr>
          <w:rFonts w:asciiTheme="minorHAnsi" w:hAnsiTheme="minorHAnsi"/>
          <w:sz w:val="22"/>
          <w:szCs w:val="22"/>
          <w:lang w:val="en"/>
        </w:rPr>
        <w:t xml:space="preserve">Confidentiality</w:t>
      </w:r>
      <w:bookmarkEnd w:id="49"/>
      <w:r/>
      <w:bookmarkEnd w:id="50"/>
      <w:r/>
      <w:r>
        <w:rPr>
          <w:rFonts w:asciiTheme="minorHAnsi" w:hAnsiTheme="minorHAnsi"/>
          <w:sz w:val="22"/>
          <w:szCs w:val="22"/>
          <w:lang w:val="en-GB"/>
        </w:rPr>
      </w:r>
    </w:p>
    <w:p>
      <w:pPr>
        <w:pStyle w:val="124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 </w:t>
      </w:r>
      <w:r>
        <w:rPr>
          <w:rFonts w:cs="Arial" w:asciiTheme="minorHAnsi" w:hAnsiTheme="minorHAnsi"/>
          <w:szCs w:val="22"/>
          <w:lang w:val="en"/>
        </w:rPr>
        <w:t xml:space="preserve">shall treat as private and maintain the confidentiality of all documents and information received or which it becomes aware of in the context of the </w:t>
      </w:r>
      <w:r>
        <w:rPr>
          <w:rFonts w:cs="Arial" w:asciiTheme="minorHAnsi" w:hAnsiTheme="minorHAnsi"/>
          <w:smallCaps/>
          <w:szCs w:val="22"/>
          <w:lang w:val="en"/>
        </w:rPr>
        <w:t xml:space="preserve">Project</w:t>
      </w:r>
      <w:r>
        <w:rPr>
          <w:rFonts w:cs="Arial" w:asciiTheme="minorHAnsi" w:hAnsiTheme="minorHAnsi"/>
          <w:szCs w:val="22"/>
          <w:lang w:val="en"/>
        </w:rPr>
        <w:t xml:space="preserve">. It shall maintain the secrecy thereof and not use them for any purpose other than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Bdr/>
        <w:spacing/>
        <w:ind w:firstLine="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this regard,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undertakes: </w:t>
      </w:r>
      <w:r>
        <w:rPr>
          <w:rFonts w:eastAsia="Times New Roman" w:cs="Arial" w:asciiTheme="minorHAnsi" w:hAnsiTheme="minorHAnsi"/>
          <w:sz w:val="22"/>
          <w:szCs w:val="22"/>
          <w:lang w:val="en-GB"/>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protect and maintain the confidentiality of information considered or presented as such;</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handle confidential information it receives with the same degree of care and protection as it applies to its own confidential information;</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only to reveal confidential information to its personnel and third parties involved in performance of the Contract after having received prior written and express approval from </w:t>
      </w:r>
      <w:r>
        <w:rPr>
          <w:rFonts w:cs="Arial" w:asciiTheme="minorHAnsi" w:hAnsiTheme="minorHAnsi"/>
          <w:smallCaps/>
          <w:szCs w:val="22"/>
          <w:lang w:val="en"/>
        </w:rPr>
        <w:t xml:space="preserve">Expertise France</w:t>
      </w:r>
      <w:r>
        <w:rPr>
          <w:rFonts w:cs="Arial" w:asciiTheme="minorHAnsi" w:hAnsiTheme="minorHAnsi"/>
          <w:szCs w:val="22"/>
          <w:lang w:val="en"/>
        </w:rPr>
        <w:t xml:space="preserve">;</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take all necessary steps such that its personnel and third parties involved in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who become aware of confidential information, undertake to treat such information with the same level of confidentiality as set out in this clause;</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As and when required, to reiterate the confidential nature of such information to its personnel and third parties involved in the execution of the </w:t>
      </w:r>
      <w:r>
        <w:rPr>
          <w:rFonts w:cs="Arial" w:asciiTheme="minorHAnsi" w:hAnsiTheme="minorHAnsi"/>
          <w:smallCaps/>
          <w:szCs w:val="22"/>
          <w:lang w:val="en"/>
        </w:rPr>
        <w:t xml:space="preserve">Contract</w:t>
      </w:r>
      <w:r>
        <w:rPr>
          <w:rFonts w:cs="Arial" w:asciiTheme="minorHAnsi" w:hAnsiTheme="minorHAnsi"/>
          <w:szCs w:val="22"/>
          <w:lang w:val="en"/>
        </w:rPr>
        <w:t xml:space="preserve">, as soon as said confidential information is communicated to the aforementioned persons;</w:t>
      </w:r>
      <w:r>
        <w:rPr>
          <w:rFonts w:cs="Arial" w:asciiTheme="minorHAnsi" w:hAnsiTheme="minorHAnsi"/>
          <w:szCs w:val="22"/>
          <w:lang w:val="en-GB"/>
        </w:rPr>
      </w:r>
    </w:p>
    <w:p>
      <w:pPr>
        <w:pStyle w:val="1243"/>
        <w:widowControl w:val="false"/>
        <w:numPr>
          <w:ilvl w:val="0"/>
          <w:numId w:val="8"/>
        </w:numPr>
        <w:pBdr/>
        <w:spacing w:before="60"/>
        <w:ind w:hanging="357" w:left="1423"/>
        <w:rPr>
          <w:rFonts w:cs="Arial" w:asciiTheme="minorHAnsi" w:hAnsiTheme="minorHAnsi"/>
          <w:szCs w:val="22"/>
          <w:lang w:val="en-GB"/>
        </w:rPr>
      </w:pPr>
      <w:r>
        <w:rPr>
          <w:rFonts w:cs="Arial" w:asciiTheme="minorHAnsi" w:hAnsiTheme="minorHAnsi"/>
          <w:szCs w:val="22"/>
          <w:lang w:val="en"/>
        </w:rPr>
        <w:t xml:space="preserve">to reiterate the confidential nature of confidential information prior to any meeting during which confidential information is communicated.</w:t>
      </w:r>
      <w:r>
        <w:rPr>
          <w:rFonts w:cs="Arial" w:asciiTheme="minorHAnsi" w:hAnsiTheme="minorHAnsi"/>
          <w:szCs w:val="22"/>
          <w:lang w:val="en-GB"/>
        </w:rPr>
      </w:r>
    </w:p>
    <w:p>
      <w:pPr>
        <w:pStyle w:val="1243"/>
        <w:widowControl w:val="false"/>
        <w:pBdr/>
        <w:spacing w:before="120"/>
        <w:ind w:left="567"/>
        <w:rPr>
          <w:rFonts w:cs="Arial" w:asciiTheme="minorHAnsi" w:hAnsiTheme="minorHAnsi"/>
          <w:szCs w:val="22"/>
          <w:lang w:val="en-GB"/>
        </w:rPr>
      </w:pPr>
      <w:r>
        <w:rPr>
          <w:rFonts w:cs="Arial" w:asciiTheme="minorHAnsi" w:hAnsiTheme="minorHAnsi"/>
          <w:szCs w:val="22"/>
          <w:lang w:val="en"/>
        </w:rPr>
        <w:t xml:space="preserve">Apart from where necessary for the purposes of service delivery, the </w:t>
      </w:r>
      <w:r>
        <w:rPr>
          <w:rFonts w:cs="Arial" w:asciiTheme="minorHAnsi" w:hAnsiTheme="minorHAnsi"/>
          <w:smallCaps/>
          <w:szCs w:val="22"/>
          <w:lang w:val="en"/>
        </w:rPr>
        <w:t xml:space="preserve">Contractor </w:t>
      </w:r>
      <w:r>
        <w:rPr>
          <w:rFonts w:cs="Arial" w:asciiTheme="minorHAnsi" w:hAnsiTheme="minorHAnsi"/>
          <w:szCs w:val="22"/>
          <w:lang w:val="en"/>
        </w:rPr>
        <w:t xml:space="preserve">may not disclose any element of the </w:t>
      </w:r>
      <w:r>
        <w:rPr>
          <w:rFonts w:cs="Arial" w:asciiTheme="minorHAnsi" w:hAnsiTheme="minorHAnsi"/>
          <w:smallCaps/>
          <w:szCs w:val="22"/>
          <w:lang w:val="en"/>
        </w:rPr>
        <w:t xml:space="preserve">Contract</w:t>
      </w:r>
      <w:r>
        <w:rPr>
          <w:rFonts w:cs="Arial" w:asciiTheme="minorHAnsi" w:hAnsiTheme="minorHAnsi"/>
          <w:szCs w:val="22"/>
          <w:lang w:val="en"/>
        </w:rPr>
        <w:t xml:space="preserve"> without prior written consent from the other party.</w:t>
      </w:r>
      <w:r>
        <w:rPr>
          <w:rFonts w:cs="Arial" w:asciiTheme="minorHAnsi" w:hAnsiTheme="minorHAnsi"/>
          <w:szCs w:val="22"/>
          <w:lang w:val="en-GB"/>
        </w:rPr>
      </w:r>
    </w:p>
    <w:p>
      <w:pPr>
        <w:pStyle w:val="1052"/>
        <w:pBdr/>
        <w:spacing w:after="60" w:before="120"/>
        <w:ind/>
        <w:jc w:val="both"/>
        <w:rPr>
          <w:rFonts w:asciiTheme="minorHAnsi" w:hAnsiTheme="minorHAnsi"/>
          <w:sz w:val="22"/>
          <w:szCs w:val="22"/>
          <w:lang w:val="en-GB"/>
        </w:rPr>
      </w:pPr>
      <w:r/>
      <w:bookmarkStart w:id="51" w:name="_Toc392669648"/>
      <w:r/>
      <w:bookmarkStart w:id="52" w:name="_Toc216881472"/>
      <w:r>
        <w:rPr>
          <w:rFonts w:asciiTheme="minorHAnsi" w:hAnsiTheme="minorHAnsi"/>
          <w:sz w:val="22"/>
          <w:szCs w:val="22"/>
          <w:lang w:val="en"/>
        </w:rPr>
        <w:t xml:space="preserve">Provision of documents</w:t>
      </w:r>
      <w:bookmarkEnd w:id="51"/>
      <w:r/>
      <w:bookmarkEnd w:id="52"/>
      <w:r>
        <w:rPr>
          <w:rFonts w:asciiTheme="minorHAnsi" w:hAnsiTheme="minorHAnsi"/>
          <w:sz w:val="22"/>
          <w:szCs w:val="22"/>
          <w:lang w:val="en"/>
        </w:rPr>
        <w:t xml:space="preserve"> </w:t>
      </w:r>
      <w:r>
        <w:rPr>
          <w:rFonts w:asciiTheme="minorHAnsi" w:hAnsiTheme="minorHAnsi"/>
          <w:sz w:val="22"/>
          <w:szCs w:val="22"/>
          <w:lang w:val="en-GB"/>
        </w:rPr>
      </w:r>
    </w:p>
    <w:p>
      <w:pPr>
        <w:pStyle w:val="1243"/>
        <w:widowControl w:val="false"/>
        <w:pBdr/>
        <w:spacing/>
        <w:ind w:left="567"/>
        <w:rPr>
          <w:rFonts w:cs="Arial" w:asciiTheme="minorHAnsi" w:hAnsiTheme="minorHAnsi"/>
          <w:szCs w:val="22"/>
          <w:lang w:val="en-GB"/>
        </w:rPr>
      </w:pPr>
      <w:r>
        <w:rPr>
          <w:rFonts w:asciiTheme="minorHAnsi" w:hAnsiTheme="minorHAnsi" w:cstheme="minorHAnsi"/>
          <w:smallCaps/>
          <w:szCs w:val="22"/>
          <w:lang w:val="en-GB"/>
        </w:rPr>
        <w:t xml:space="preserve">Expertise France</w:t>
      </w:r>
      <w:r>
        <w:rPr>
          <w:rFonts w:cs="Arial" w:asciiTheme="minorHAnsi" w:hAnsiTheme="minorHAnsi"/>
          <w:szCs w:val="22"/>
          <w:lang w:val="en"/>
        </w:rPr>
        <w:t xml:space="preserve"> shall ensure that the</w:t>
      </w:r>
      <w:r>
        <w:rPr>
          <w:rFonts w:cs="Arial" w:asciiTheme="minorHAnsi" w:hAnsiTheme="minorHAnsi"/>
          <w:smallCaps/>
          <w:szCs w:val="22"/>
          <w:lang w:val="en"/>
        </w:rPr>
        <w:t xml:space="preserve"> Contractor </w:t>
      </w:r>
      <w:r>
        <w:rPr>
          <w:rFonts w:cs="Arial" w:asciiTheme="minorHAnsi" w:hAnsiTheme="minorHAnsi"/>
          <w:szCs w:val="22"/>
          <w:lang w:val="en"/>
        </w:rPr>
        <w:t xml:space="preserve">receives in good time all the documents (as set out below) required for delivery of the services/supplies:</w:t>
      </w:r>
      <w:r>
        <w:rPr>
          <w:rFonts w:cs="Arial" w:asciiTheme="minorHAnsi" w:hAnsiTheme="minorHAnsi"/>
          <w:szCs w:val="22"/>
          <w:lang w:val="en-GB"/>
        </w:rPr>
      </w:r>
    </w:p>
    <w:p>
      <w:pPr>
        <w:pStyle w:val="1243"/>
        <w:widowControl w:val="false"/>
        <w:numPr>
          <w:ilvl w:val="0"/>
          <w:numId w:val="9"/>
        </w:numPr>
        <w:pBdr>
          <w:top w:val="none" w:color="000000" w:sz="4" w:space="0"/>
          <w:left w:val="none" w:color="000000" w:sz="4" w:space="0"/>
          <w:bottom w:val="none" w:color="000000" w:sz="4" w:space="0"/>
          <w:right w:val="none" w:color="000000" w:sz="4" w:space="0"/>
          <w:between w:val="none" w:color="000000" w:sz="4" w:space="0"/>
        </w:pBdr>
        <w:spacing/>
        <w:ind/>
        <w:rPr>
          <w:rFonts w:ascii="Calibri" w:hAnsi="Calibri"/>
          <w:lang w:val="en-US"/>
        </w:rPr>
      </w:pPr>
      <w:r>
        <w:rPr>
          <w:rFonts w:ascii="Calibri" w:hAnsi="Calibri"/>
          <w:lang w:val="en-US"/>
        </w:rPr>
        <w:t xml:space="preserve">Technical offer of the </w:t>
      </w:r>
      <w:r>
        <w:rPr>
          <w:rStyle w:val="1297"/>
          <w:rFonts w:ascii="Calibri" w:hAnsi="Calibri"/>
          <w:smallCaps/>
          <w:lang w:val="en-US"/>
        </w:rPr>
        <w:t xml:space="preserve">Main Contract</w:t>
      </w:r>
      <w:r>
        <w:rPr>
          <w:rFonts w:ascii="Calibri" w:hAnsi="Calibri"/>
          <w:lang w:val="en-US"/>
        </w:rPr>
      </w:r>
    </w:p>
    <w:p>
      <w:pPr>
        <w:pStyle w:val="1243"/>
        <w:widowControl w:val="false"/>
        <w:numPr>
          <w:ilvl w:val="0"/>
          <w:numId w:val="9"/>
        </w:numPr>
        <w:pBdr>
          <w:top w:val="none" w:color="000000" w:sz="4" w:space="0"/>
          <w:left w:val="none" w:color="000000" w:sz="4" w:space="0"/>
          <w:bottom w:val="none" w:color="000000" w:sz="4" w:space="0"/>
          <w:right w:val="none" w:color="000000" w:sz="4" w:space="0"/>
          <w:between w:val="none" w:color="000000" w:sz="4" w:space="0"/>
        </w:pBdr>
        <w:spacing/>
        <w:ind/>
        <w:rPr>
          <w:rFonts w:ascii="Calibri" w:hAnsi="Calibri"/>
          <w:lang w:val="en-US"/>
        </w:rPr>
      </w:pPr>
      <w:r>
        <w:rPr>
          <w:rFonts w:ascii="Calibri" w:hAnsi="Calibri"/>
          <w:lang w:val="en-US"/>
        </w:rPr>
        <w:t xml:space="preserve">Specifications of the </w:t>
      </w:r>
      <w:r>
        <w:rPr>
          <w:rStyle w:val="1297"/>
          <w:rFonts w:ascii="Calibri" w:hAnsi="Calibri"/>
          <w:smallCaps/>
          <w:lang w:val="en-US"/>
        </w:rPr>
        <w:t xml:space="preserve">Main Contract</w:t>
      </w:r>
      <w:r>
        <w:rPr>
          <w:rFonts w:ascii="Calibri" w:hAnsi="Calibri"/>
          <w:lang w:val="en-US"/>
        </w:rPr>
      </w:r>
    </w:p>
    <w:p>
      <w:pPr>
        <w:pStyle w:val="1052"/>
        <w:pBdr/>
        <w:spacing w:after="60" w:before="120"/>
        <w:ind/>
        <w:jc w:val="both"/>
        <w:rPr>
          <w:rFonts w:asciiTheme="minorHAnsi" w:hAnsiTheme="minorHAnsi"/>
          <w:sz w:val="22"/>
          <w:szCs w:val="22"/>
        </w:rPr>
      </w:pPr>
      <w:r/>
      <w:bookmarkStart w:id="53" w:name="_Toc392669649"/>
      <w:r/>
      <w:bookmarkStart w:id="54" w:name="_Toc216881473"/>
      <w:r>
        <w:rPr>
          <w:rFonts w:asciiTheme="minorHAnsi" w:hAnsiTheme="minorHAnsi"/>
          <w:sz w:val="22"/>
          <w:szCs w:val="22"/>
          <w:lang w:val="en"/>
        </w:rPr>
        <w:t xml:space="preserve">Insurance</w:t>
      </w:r>
      <w:bookmarkEnd w:id="53"/>
      <w:r/>
      <w:bookmarkEnd w:id="54"/>
      <w:r/>
      <w:r>
        <w:rPr>
          <w:rFonts w:asciiTheme="minorHAnsi" w:hAnsiTheme="minorHAnsi"/>
          <w:sz w:val="22"/>
          <w:szCs w:val="22"/>
        </w:rPr>
      </w:r>
    </w:p>
    <w:p>
      <w:pPr>
        <w:pStyle w:val="1243"/>
        <w:widowControl w:val="false"/>
        <w:pBdr/>
        <w:spacing/>
        <w:ind/>
        <w:rPr>
          <w:rFonts w:cs="Arial" w:asciiTheme="minorHAnsi" w:hAnsiTheme="minorHAnsi"/>
          <w:szCs w:val="22"/>
          <w:u w:val="single"/>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r>
        <w:rPr>
          <w:rFonts w:cs="Arial" w:asciiTheme="minorHAnsi" w:hAnsiTheme="minorHAnsi"/>
          <w:szCs w:val="22"/>
          <w:u w:val="single"/>
          <w:lang w:val="en-GB"/>
        </w:rPr>
      </w:r>
    </w:p>
    <w:p>
      <w:pPr>
        <w:pStyle w:val="1244"/>
        <w:widowControl w:val="false"/>
        <w:pBdr/>
        <w:spacing/>
        <w:ind w:firstLine="0"/>
        <w:rPr>
          <w:rFonts w:cs="Arial" w:asciiTheme="minorHAnsi" w:hAnsiTheme="minorHAnsi"/>
          <w:smallCaps/>
          <w:szCs w:val="22"/>
          <w:lang w:val="en-GB"/>
        </w:rPr>
      </w:pPr>
      <w:r>
        <w:rPr>
          <w:rFonts w:cs="Arial" w:asciiTheme="minorHAnsi" w:hAnsiTheme="minorHAnsi"/>
          <w:szCs w:val="22"/>
          <w:lang w:val="en"/>
        </w:rPr>
        <w:t xml:space="preserve">The </w:t>
      </w:r>
      <w:r>
        <w:rPr>
          <w:rFonts w:cs="Arial" w:asciiTheme="minorHAnsi" w:hAnsiTheme="minorHAnsi"/>
          <w:smallCaps/>
          <w:szCs w:val="22"/>
          <w:lang w:val="en"/>
        </w:rPr>
        <w:t xml:space="preserve">Contractor</w:t>
      </w:r>
      <w:r>
        <w:rPr>
          <w:rFonts w:cs="Arial" w:asciiTheme="minorHAnsi" w:hAnsiTheme="minorHAnsi"/>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cs="Arial" w:asciiTheme="minorHAnsi" w:hAnsiTheme="minorHAnsi"/>
          <w:smallCaps/>
          <w:szCs w:val="22"/>
          <w:lang w:val="en"/>
        </w:rPr>
        <w:t xml:space="preserve">.</w:t>
      </w:r>
      <w:r>
        <w:rPr>
          <w:rFonts w:cs="Arial" w:asciiTheme="minorHAnsi" w:hAnsiTheme="minorHAnsi"/>
          <w:smallCaps/>
          <w:szCs w:val="22"/>
          <w:lang w:val="en-GB"/>
        </w:rPr>
      </w:r>
    </w:p>
    <w:p>
      <w:pPr>
        <w:pStyle w:val="1244"/>
        <w:widowControl w:val="false"/>
        <w:pBdr/>
        <w:spacing/>
        <w:ind w:firstLine="0"/>
        <w:rPr>
          <w:rFonts w:cs="Arial" w:asciiTheme="minorHAnsi" w:hAnsiTheme="minorHAnsi"/>
          <w:smallCaps/>
          <w:szCs w:val="22"/>
          <w:lang w:val="en-GB"/>
        </w:rPr>
      </w:pPr>
      <w:r>
        <w:rPr>
          <w:rFonts w:cs="Arial" w:asciiTheme="minorHAnsi" w:hAnsiTheme="minorHAnsi"/>
          <w:smallCaps/>
          <w:szCs w:val="22"/>
          <w:lang w:val="en-GB"/>
        </w:rPr>
      </w:r>
      <w:r>
        <w:rPr>
          <w:rFonts w:cs="Arial" w:asciiTheme="minorHAnsi" w:hAnsiTheme="minorHAnsi"/>
          <w:smallCaps/>
          <w:szCs w:val="22"/>
          <w:lang w:val="en-GB"/>
        </w:rPr>
      </w:r>
    </w:p>
    <w:p>
      <w:pPr>
        <w:pStyle w:val="1244"/>
        <w:widowControl w:val="false"/>
        <w:pBdr/>
        <w:spacing/>
        <w:ind w:firstLine="0"/>
        <w:rPr>
          <w:rFonts w:cs="Arial" w:asciiTheme="minorHAnsi" w:hAnsiTheme="minorHAnsi"/>
          <w:smallCaps/>
          <w:lang w:val="en-GB"/>
        </w:rPr>
      </w:pPr>
      <w:r>
        <w:rPr>
          <w:rFonts w:cs="Arial" w:asciiTheme="minorHAnsi" w:hAnsiTheme="minorHAnsi"/>
          <w:lang w:val="en"/>
        </w:rPr>
        <w:t xml:space="preserve">The </w:t>
      </w:r>
      <w:r>
        <w:rPr>
          <w:rFonts w:cs="Arial" w:asciiTheme="minorHAnsi" w:hAnsiTheme="minorHAnsi"/>
          <w:smallCaps/>
          <w:lang w:val="en"/>
        </w:rPr>
        <w:t xml:space="preserve">Contractor</w:t>
      </w:r>
      <w:r>
        <w:rPr>
          <w:rFonts w:cs="Arial" w:asciiTheme="minorHAnsi" w:hAnsiTheme="minorHAnsi"/>
          <w:lang w:val="en"/>
        </w:rPr>
        <w:t xml:space="preserve"> must be able to produce on request by </w:t>
      </w:r>
      <w:r>
        <w:rPr>
          <w:rFonts w:cs="Arial" w:asciiTheme="minorHAnsi" w:hAnsiTheme="minorHAnsi"/>
          <w:smallCaps/>
          <w:lang w:val="en"/>
        </w:rPr>
        <w:t xml:space="preserve">Expertise France </w:t>
      </w:r>
      <w:r>
        <w:rPr>
          <w:rFonts w:cs="Arial" w:asciiTheme="minorHAnsi" w:hAnsiTheme="minorHAnsi"/>
          <w:lang w:val="en"/>
        </w:rPr>
        <w:t xml:space="preserve">all certificates demonstrating its possession of the aforementioned policies</w:t>
      </w:r>
      <w:r>
        <w:rPr>
          <w:rFonts w:cs="Arial" w:asciiTheme="minorHAnsi" w:hAnsiTheme="minorHAnsi"/>
          <w:smallCaps/>
          <w:lang w:val="en"/>
        </w:rPr>
        <w:t xml:space="preserve">.</w:t>
      </w:r>
      <w:r>
        <w:rPr>
          <w:rFonts w:cs="Arial" w:asciiTheme="minorHAnsi" w:hAnsiTheme="minorHAnsi"/>
          <w:smallCaps/>
          <w:lang w:val="en-GB"/>
        </w:rPr>
      </w:r>
    </w:p>
    <w:p>
      <w:pPr>
        <w:pStyle w:val="1052"/>
        <w:pBdr/>
        <w:spacing w:after="60" w:before="240"/>
        <w:ind/>
        <w:jc w:val="both"/>
        <w:rPr>
          <w:rFonts w:asciiTheme="minorHAnsi" w:hAnsiTheme="minorHAnsi"/>
          <w:sz w:val="22"/>
          <w:lang w:val="en-GB"/>
        </w:rPr>
      </w:pPr>
      <w:r/>
      <w:bookmarkStart w:id="55" w:name="_Toc525912441"/>
      <w:r/>
      <w:bookmarkStart w:id="56" w:name="_Ref464060009"/>
      <w:r/>
      <w:bookmarkStart w:id="57" w:name="_Toc216881474"/>
      <w:r>
        <w:rPr>
          <w:rFonts w:asciiTheme="minorHAnsi" w:hAnsiTheme="minorHAnsi"/>
          <w:sz w:val="22"/>
          <w:lang w:val="en"/>
        </w:rPr>
        <w:t xml:space="preserve">Contact person and communication</w:t>
      </w:r>
      <w:bookmarkEnd w:id="55"/>
      <w:r/>
      <w:bookmarkEnd w:id="56"/>
      <w:r/>
      <w:bookmarkEnd w:id="57"/>
      <w:r/>
      <w:r>
        <w:rPr>
          <w:rFonts w:asciiTheme="minorHAnsi" w:hAnsiTheme="minorHAnsi"/>
          <w:sz w:val="22"/>
          <w:lang w:val="en-GB"/>
        </w:rPr>
      </w:r>
    </w:p>
    <w:p>
      <w:pPr>
        <w:pStyle w:val="1243"/>
        <w:widowControl w:val="false"/>
        <w:pBdr/>
        <w:spacing w:before="120"/>
        <w:ind w:left="561"/>
        <w:rPr>
          <w:rFonts w:cs="Arial" w:asciiTheme="minorHAnsi" w:hAnsiTheme="minorHAnsi"/>
          <w:lang w:val="en-GB"/>
        </w:rPr>
      </w:pPr>
      <w:r>
        <w:rPr>
          <w:rFonts w:cs="Arial" w:asciiTheme="minorHAnsi" w:hAnsiTheme="minorHAnsi"/>
          <w:lang w:val="en"/>
        </w:rPr>
        <w:t xml:space="preserve">All communication and notifications between the </w:t>
      </w:r>
      <w:r>
        <w:rPr>
          <w:rFonts w:cs="Arial" w:asciiTheme="minorHAnsi" w:hAnsiTheme="minorHAnsi"/>
          <w:smallCaps/>
          <w:lang w:val="en"/>
        </w:rPr>
        <w:t xml:space="preserve">Parties</w:t>
      </w:r>
      <w:r>
        <w:rPr>
          <w:rFonts w:cs="Arial" w:asciiTheme="minorHAnsi" w:hAnsiTheme="minorHAnsi"/>
          <w:lang w:val="en"/>
        </w:rPr>
        <w:t xml:space="preserve"> under the </w:t>
      </w:r>
      <w:r>
        <w:rPr>
          <w:rFonts w:cs="Arial" w:asciiTheme="minorHAnsi" w:hAnsiTheme="minorHAnsi"/>
          <w:smallCaps/>
          <w:lang w:val="en"/>
        </w:rPr>
        <w:t xml:space="preserve">Contract</w:t>
      </w:r>
      <w:r>
        <w:rPr>
          <w:rFonts w:cs="Arial" w:asciiTheme="minorHAnsi" w:hAnsiTheme="minorHAnsi"/>
          <w:lang w:val="en"/>
        </w:rPr>
        <w:t xml:space="preserve"> shall take place in written form, either through the exchange of e-mails or via registered letter with acknowledgement of receipt, where the latter form is prohibited in certain cases under the </w:t>
      </w:r>
      <w:r>
        <w:rPr>
          <w:rFonts w:cs="Arial" w:asciiTheme="minorHAnsi" w:hAnsiTheme="minorHAnsi"/>
          <w:smallCaps/>
          <w:lang w:val="en"/>
        </w:rPr>
        <w:t xml:space="preserve">Contract</w:t>
      </w:r>
      <w:r>
        <w:rPr>
          <w:rFonts w:cs="Arial" w:asciiTheme="minorHAnsi" w:hAnsiTheme="minorHAnsi"/>
          <w:lang w:val="en"/>
        </w:rPr>
        <w:t xml:space="preserve">, and shall be deemed to have been validly served from its receipt by the addressee.</w:t>
      </w:r>
      <w:r>
        <w:rPr>
          <w:rFonts w:cs="Arial" w:asciiTheme="minorHAnsi" w:hAnsiTheme="minorHAnsi"/>
          <w:lang w:val="en-GB"/>
        </w:rPr>
      </w:r>
    </w:p>
    <w:p>
      <w:pPr>
        <w:pStyle w:val="1243"/>
        <w:widowControl w:val="false"/>
        <w:pBdr/>
        <w:spacing w:after="120"/>
        <w:ind w:left="561"/>
        <w:rPr>
          <w:rFonts w:cs="Arial" w:asciiTheme="minorHAnsi" w:hAnsiTheme="minorHAnsi"/>
          <w:lang w:val="en-GB"/>
        </w:rPr>
      </w:pPr>
      <w:r>
        <w:rPr>
          <w:rFonts w:cs="Arial" w:asciiTheme="minorHAnsi" w:hAnsiTheme="minorHAnsi"/>
          <w:lang w:val="en"/>
        </w:rPr>
        <w:t xml:space="preserve">All correspondence shall be forwarded, all carriage costs paid, to the following addresses:</w:t>
      </w:r>
      <w:r>
        <w:rPr>
          <w:rFonts w:cs="Arial" w:asciiTheme="minorHAnsi" w:hAnsiTheme="minorHAnsi"/>
          <w:lang w:val="en-GB"/>
        </w:rPr>
      </w:r>
    </w:p>
    <w:tbl>
      <w:tblPr>
        <w:tblStyle w:val="1263"/>
        <w:tblW w:w="0" w:type="auto"/>
        <w:tblInd w:w="992" w:type="dxa"/>
        <w:tblBorders/>
        <w:tblLook w:val="04A0" w:firstRow="1" w:lastRow="0" w:firstColumn="1" w:lastColumn="0" w:noHBand="0" w:noVBand="1"/>
      </w:tblPr>
      <w:tblGrid>
        <w:gridCol w:w="4370"/>
        <w:gridCol w:w="4374"/>
      </w:tblGrid>
      <w:tr>
        <w:trPr/>
        <w:tc>
          <w:tcPr>
            <w:tcBorders/>
            <w:tcW w:w="4370" w:type="dxa"/>
            <w:vAlign w:val="center"/>
            <w:textDirection w:val="lrTb"/>
            <w:noWrap w:val="false"/>
          </w:tcPr>
          <w:p>
            <w:pPr>
              <w:pStyle w:val="1246"/>
              <w:widowControl w:val="false"/>
              <w:pBdr/>
              <w:spacing w:after="100" w:afterAutospacing="1" w:before="100" w:beforeAutospacing="1"/>
              <w:ind/>
              <w:rPr>
                <w:rFonts w:cs="Arial" w:asciiTheme="minorHAnsi" w:hAnsiTheme="minorHAnsi"/>
              </w:rPr>
            </w:pPr>
            <w:r>
              <w:rPr>
                <w:rFonts w:cs="Arial" w:asciiTheme="minorHAnsi" w:hAnsiTheme="minorHAnsi"/>
                <w:lang w:val="en"/>
              </w:rPr>
              <w:t xml:space="preserve">For E</w:t>
            </w:r>
            <w:r>
              <w:rPr>
                <w:rFonts w:cs="Arial" w:asciiTheme="minorHAnsi" w:hAnsiTheme="minorHAnsi"/>
                <w:smallCaps/>
                <w:lang w:val="en"/>
              </w:rPr>
              <w:t xml:space="preserve">xpertise France </w:t>
            </w:r>
            <w:r>
              <w:rPr>
                <w:rFonts w:cs="Arial" w:asciiTheme="minorHAnsi" w:hAnsiTheme="minorHAnsi"/>
                <w:lang w:val="en"/>
              </w:rPr>
              <w:t xml:space="preserve">:</w:t>
            </w:r>
            <w:r>
              <w:rPr>
                <w:rFonts w:cs="Arial" w:asciiTheme="minorHAnsi" w:hAnsiTheme="minorHAnsi"/>
              </w:rPr>
            </w:r>
          </w:p>
        </w:tc>
        <w:tc>
          <w:tcPr>
            <w:tcBorders/>
            <w:tcW w:w="4374" w:type="dxa"/>
            <w:vAlign w:val="center"/>
            <w:textDirection w:val="lrTb"/>
            <w:noWrap w:val="false"/>
          </w:tcPr>
          <w:p>
            <w:pPr>
              <w:widowControl w:val="false"/>
              <w:pBdr/>
              <w:spacing w:line="240" w:lineRule="auto"/>
              <w:ind/>
              <w:jc w:val="both"/>
              <w:rPr>
                <w:rFonts w:cs="Arial" w:asciiTheme="minorHAnsi" w:hAnsiTheme="minorHAnsi"/>
                <w:smallCaps/>
                <w:sz w:val="22"/>
                <w:lang w:val="en-GB"/>
              </w:rPr>
            </w:pPr>
            <w:r>
              <w:rPr>
                <w:rFonts w:cs="Arial" w:asciiTheme="minorHAnsi" w:hAnsiTheme="minorHAnsi"/>
                <w:smallCaps/>
                <w:sz w:val="22"/>
                <w:lang w:val="en"/>
              </w:rPr>
              <w:t xml:space="preserve">Expertise France </w:t>
            </w:r>
            <w:r>
              <w:rPr>
                <w:rFonts w:cs="Arial" w:asciiTheme="minorHAnsi" w:hAnsiTheme="minorHAnsi"/>
                <w:smallCaps/>
                <w:sz w:val="22"/>
                <w:lang w:val="en-GB"/>
              </w:rPr>
            </w:r>
          </w:p>
          <w:p>
            <w:pPr>
              <w:pStyle w:val="1290"/>
              <w:widowControl w:val="false"/>
              <w:pBdr/>
              <w:spacing w:line="240" w:lineRule="auto"/>
              <w:ind/>
              <w:jc w:val="both"/>
              <w:rPr>
                <w:rStyle w:val="1297"/>
                <w:rFonts w:ascii="Calibri" w:hAnsi="Calibri" w:eastAsia="Calibri" w:cs="Calibri"/>
                <w:sz w:val="22"/>
                <w:szCs w:val="22"/>
                <w:lang w:val="en-US"/>
              </w:rPr>
            </w:pPr>
            <w:r>
              <w:rPr>
                <w:rStyle w:val="1297"/>
                <w:rFonts w:ascii="Calibri" w:hAnsi="Calibri"/>
                <w:sz w:val="22"/>
                <w:szCs w:val="22"/>
                <w:lang w:val="en-GB"/>
              </w:rPr>
              <w:t xml:space="preserve">Pauline STEPHAN, </w:t>
            </w:r>
            <w:r>
              <w:rPr>
                <w:rStyle w:val="1297"/>
                <w:rFonts w:ascii="Calibri" w:hAnsi="Calibri"/>
                <w:sz w:val="22"/>
                <w:szCs w:val="22"/>
                <w:lang w:val="en-US"/>
              </w:rPr>
              <w:t xml:space="preserve">Project Manager</w:t>
            </w:r>
            <w:r>
              <w:rPr>
                <w:rStyle w:val="1297"/>
                <w:rFonts w:ascii="Calibri" w:hAnsi="Calibri" w:eastAsia="Calibri" w:cs="Calibri"/>
                <w:sz w:val="22"/>
                <w:szCs w:val="22"/>
                <w:lang w:val="en-US"/>
              </w:rPr>
            </w:r>
          </w:p>
          <w:p>
            <w:pPr>
              <w:pStyle w:val="1290"/>
              <w:widowControl w:val="false"/>
              <w:pBdr/>
              <w:spacing w:line="240" w:lineRule="auto"/>
              <w:ind/>
              <w:jc w:val="both"/>
              <w:rPr>
                <w:rFonts w:ascii="Calibri" w:hAnsi="Calibri" w:eastAsia="Calibri" w:cs="Calibri"/>
                <w:sz w:val="22"/>
                <w:szCs w:val="22"/>
                <w:lang w:val="en-GB"/>
              </w:rPr>
            </w:pPr>
            <w:r/>
            <w:hyperlink r:id="rId22" w:tooltip="mailto:pauline.stephan@expertisefrance.fr" w:history="1">
              <w:r>
                <w:rPr>
                  <w:rStyle w:val="1293"/>
                  <w:rFonts w:ascii="Calibri" w:hAnsi="Calibri"/>
                  <w:sz w:val="22"/>
                  <w:szCs w:val="22"/>
                  <w:lang w:val="en-GB"/>
                </w:rPr>
                <w:t xml:space="preserve">pauline.stephan@expertisefrance.fr</w:t>
              </w:r>
            </w:hyperlink>
            <w:r>
              <w:rPr>
                <w:rStyle w:val="1297"/>
                <w:rFonts w:ascii="Calibri" w:hAnsi="Calibri"/>
                <w:sz w:val="22"/>
                <w:szCs w:val="22"/>
                <w:lang w:val="en-GB"/>
              </w:rPr>
              <w:t xml:space="preserve"> </w:t>
            </w:r>
            <w:r>
              <w:rPr>
                <w:rFonts w:ascii="Calibri" w:hAnsi="Calibri" w:eastAsia="Calibri" w:cs="Calibri"/>
                <w:sz w:val="22"/>
                <w:szCs w:val="22"/>
                <w:lang w:val="en-GB"/>
              </w:rPr>
            </w:r>
          </w:p>
          <w:p>
            <w:pPr>
              <w:pStyle w:val="1290"/>
              <w:widowControl w:val="false"/>
              <w:pBdr/>
              <w:spacing w:line="240" w:lineRule="auto"/>
              <w:ind/>
              <w:jc w:val="both"/>
              <w:rPr>
                <w:rStyle w:val="1297"/>
                <w:rFonts w:ascii="Calibri" w:hAnsi="Calibri" w:eastAsia="Calibri" w:cs="Calibri"/>
                <w:sz w:val="22"/>
                <w:szCs w:val="22"/>
                <w:lang w:val="en-GB"/>
              </w:rPr>
            </w:pPr>
            <w:r>
              <w:rPr>
                <w:rStyle w:val="1297"/>
                <w:rFonts w:ascii="Calibri" w:hAnsi="Calibri"/>
                <w:sz w:val="22"/>
                <w:szCs w:val="22"/>
                <w:lang w:val="en-GB"/>
              </w:rPr>
              <w:t xml:space="preserve">Department of Sustainable Development</w:t>
            </w:r>
            <w:r>
              <w:rPr>
                <w:rStyle w:val="1297"/>
                <w:rFonts w:ascii="Calibri" w:hAnsi="Calibri" w:eastAsia="Calibri" w:cs="Calibri"/>
                <w:sz w:val="22"/>
                <w:szCs w:val="22"/>
                <w:lang w:val="en-GB"/>
              </w:rPr>
            </w:r>
          </w:p>
          <w:p>
            <w:pPr>
              <w:widowControl w:val="false"/>
              <w:pBdr/>
              <w:spacing w:line="240" w:lineRule="auto"/>
              <w:ind/>
              <w:jc w:val="both"/>
              <w:rPr>
                <w:rFonts w:cs="Arial" w:asciiTheme="minorHAnsi" w:hAnsiTheme="minorHAnsi"/>
                <w:sz w:val="22"/>
              </w:rPr>
            </w:pPr>
            <w:r>
              <w:rPr>
                <w:rFonts w:cs="Arial" w:asciiTheme="minorHAnsi" w:hAnsiTheme="minorHAnsi"/>
                <w:sz w:val="22"/>
              </w:rPr>
              <w:t xml:space="preserve">40, boulevard de Port Royal</w:t>
            </w:r>
            <w:r>
              <w:rPr>
                <w:rFonts w:cs="Arial" w:asciiTheme="minorHAnsi" w:hAnsiTheme="minorHAnsi"/>
                <w:sz w:val="22"/>
              </w:rPr>
            </w:r>
          </w:p>
          <w:p>
            <w:pPr>
              <w:widowControl w:val="false"/>
              <w:pBdr/>
              <w:spacing w:line="240" w:lineRule="auto"/>
              <w:ind/>
              <w:jc w:val="both"/>
              <w:rPr>
                <w:rFonts w:cs="Arial" w:asciiTheme="minorHAnsi" w:hAnsiTheme="minorHAnsi"/>
                <w:sz w:val="22"/>
              </w:rPr>
            </w:pPr>
            <w:r>
              <w:rPr>
                <w:rFonts w:cs="Arial" w:asciiTheme="minorHAnsi" w:hAnsiTheme="minorHAnsi"/>
                <w:sz w:val="22"/>
              </w:rPr>
              <w:t xml:space="preserve">F-75005 PARIS</w:t>
            </w:r>
            <w:r>
              <w:rPr>
                <w:rFonts w:cs="Arial" w:asciiTheme="minorHAnsi" w:hAnsiTheme="minorHAnsi"/>
                <w:sz w:val="22"/>
              </w:rPr>
            </w:r>
          </w:p>
          <w:p>
            <w:pPr>
              <w:widowControl w:val="false"/>
              <w:pBdr/>
              <w:spacing w:line="240" w:lineRule="auto"/>
              <w:ind/>
              <w:jc w:val="both"/>
              <w:rPr>
                <w:rFonts w:cs="Arial" w:asciiTheme="minorHAnsi" w:hAnsiTheme="minorHAnsi"/>
                <w:sz w:val="22"/>
              </w:rPr>
            </w:pPr>
            <w:r>
              <w:rPr>
                <w:rFonts w:cs="Arial" w:asciiTheme="minorHAnsi" w:hAnsiTheme="minorHAnsi"/>
                <w:sz w:val="22"/>
              </w:rPr>
            </w:r>
            <w:r>
              <w:rPr>
                <w:rFonts w:cs="Arial" w:asciiTheme="minorHAnsi" w:hAnsiTheme="minorHAnsi"/>
                <w:sz w:val="22"/>
              </w:rPr>
            </w:r>
          </w:p>
          <w:p>
            <w:pPr>
              <w:widowControl w:val="false"/>
              <w:pBdr/>
              <w:spacing w:line="240" w:lineRule="auto"/>
              <w:ind/>
              <w:jc w:val="both"/>
              <w:rPr>
                <w:rFonts w:cs="Arial" w:asciiTheme="minorHAnsi" w:hAnsiTheme="minorHAnsi"/>
                <w:sz w:val="22"/>
                <w:lang w:val="pt-BR"/>
              </w:rPr>
            </w:pPr>
            <w:r>
              <w:rPr>
                <w:rFonts w:cs="Arial" w:asciiTheme="minorHAnsi" w:hAnsiTheme="minorHAnsi"/>
                <w:sz w:val="22"/>
                <w:lang w:val="pt-BR"/>
              </w:rPr>
              <w:t xml:space="preserve">Cc: Mariana MOJICA</w:t>
            </w:r>
            <w:r>
              <w:rPr>
                <w:rFonts w:cs="Arial" w:asciiTheme="minorHAnsi" w:hAnsiTheme="minorHAnsi"/>
                <w:sz w:val="22"/>
                <w:lang w:val="pt-BR"/>
              </w:rPr>
            </w:r>
          </w:p>
          <w:p>
            <w:pPr>
              <w:widowControl w:val="false"/>
              <w:pBdr/>
              <w:spacing w:line="240" w:lineRule="auto"/>
              <w:ind/>
              <w:jc w:val="both"/>
              <w:rPr>
                <w:rFonts w:cs="Arial" w:asciiTheme="minorHAnsi" w:hAnsiTheme="minorHAnsi"/>
                <w:sz w:val="22"/>
                <w:lang w:val="pt-BR"/>
              </w:rPr>
            </w:pPr>
            <w:r/>
            <w:hyperlink r:id="rId23" w:tooltip="mailto:Mariana.mojica@expertisefrance.fr" w:history="1">
              <w:r>
                <w:rPr>
                  <w:rStyle w:val="1239"/>
                  <w:rFonts w:cs="Arial" w:asciiTheme="minorHAnsi" w:hAnsiTheme="minorHAnsi"/>
                  <w:sz w:val="22"/>
                  <w:lang w:val="pt-BR"/>
                </w:rPr>
                <w:t xml:space="preserve">Mariana.mojica@expertisefrance.fr</w:t>
              </w:r>
            </w:hyperlink>
            <w:r/>
            <w:r>
              <w:rPr>
                <w:rFonts w:cs="Arial" w:asciiTheme="minorHAnsi" w:hAnsiTheme="minorHAnsi"/>
                <w:sz w:val="22"/>
                <w:lang w:val="pt-BR"/>
              </w:rPr>
            </w:r>
          </w:p>
        </w:tc>
      </w:tr>
      <w:tr>
        <w:trPr/>
        <w:tc>
          <w:tcPr>
            <w:tcBorders/>
            <w:tcW w:w="4370" w:type="dxa"/>
            <w:vAlign w:val="center"/>
            <w:textDirection w:val="lrTb"/>
            <w:noWrap w:val="false"/>
          </w:tcPr>
          <w:p>
            <w:pPr>
              <w:pStyle w:val="1246"/>
              <w:pBdr/>
              <w:spacing w:after="100" w:afterAutospacing="1" w:before="100" w:beforeAutospacing="1"/>
              <w:ind/>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 xml:space="preserve">Contractor</w:t>
            </w:r>
            <w:r>
              <w:rPr>
                <w:rFonts w:asciiTheme="minorHAnsi" w:hAnsiTheme="minorHAnsi"/>
                <w:szCs w:val="20"/>
                <w:lang w:val="en"/>
              </w:rPr>
              <w:t xml:space="preserve">:</w:t>
            </w:r>
            <w:r>
              <w:rPr>
                <w:rFonts w:asciiTheme="minorHAnsi" w:hAnsiTheme="minorHAnsi"/>
                <w:szCs w:val="20"/>
              </w:rPr>
            </w:r>
          </w:p>
        </w:tc>
        <w:tc>
          <w:tcPr>
            <w:tcBorders/>
            <w:tcW w:w="4374" w:type="dxa"/>
            <w:vAlign w:val="center"/>
            <w:textDirection w:val="lrTb"/>
            <w:noWrap w:val="false"/>
          </w:tcPr>
          <w:p>
            <w:pPr>
              <w:pStyle w:val="1246"/>
              <w:pBdr/>
              <w:spacing w:after="100" w:afterAutospacing="1" w:before="100" w:beforeAutospacing="1"/>
              <w:ind/>
              <w:rPr>
                <w:rFonts w:asciiTheme="minorHAnsi" w:hAnsiTheme="minorHAnsi"/>
                <w:szCs w:val="20"/>
                <w:lang w:val="en-GB"/>
              </w:rPr>
            </w:pPr>
            <w:r>
              <w:rPr>
                <w:rFonts w:eastAsia="Calibri" w:asciiTheme="minorHAnsi" w:hAnsiTheme="minorHAnsi"/>
                <w:szCs w:val="20"/>
                <w:highlight w:val="lightGray"/>
                <w:lang w:val="en"/>
              </w:rPr>
              <w:t xml:space="preserve">To be completed by the </w:t>
            </w:r>
            <w:r>
              <w:rPr>
                <w:rFonts w:eastAsia="Calibri" w:asciiTheme="minorHAnsi" w:hAnsiTheme="minorHAnsi"/>
                <w:smallCaps/>
                <w:szCs w:val="20"/>
                <w:highlight w:val="lightGray"/>
                <w:lang w:val="en"/>
              </w:rPr>
              <w:t xml:space="preserve">Contractor</w:t>
            </w:r>
            <w:r>
              <w:rPr>
                <w:rFonts w:asciiTheme="minorHAnsi" w:hAnsiTheme="minorHAnsi"/>
                <w:szCs w:val="20"/>
                <w:lang w:val="en-GB"/>
              </w:rPr>
            </w:r>
          </w:p>
        </w:tc>
      </w:tr>
    </w:tbl>
    <w:p>
      <w:pPr>
        <w:pStyle w:val="1244"/>
        <w:widowControl w:val="false"/>
        <w:pBdr/>
        <w:spacing w:before="120"/>
        <w:ind w:firstLine="0" w:left="561"/>
        <w:rPr>
          <w:rFonts w:cs="Arial" w:asciiTheme="minorHAnsi" w:hAnsiTheme="minorHAnsi"/>
          <w:lang w:val="en"/>
        </w:rPr>
      </w:pPr>
      <w:r>
        <w:rPr>
          <w:rFonts w:cs="Arial" w:asciiTheme="minorHAnsi" w:hAnsiTheme="minorHAnsi"/>
          <w:lang w:val="en"/>
        </w:rPr>
        <w:t xml:space="preserve">Each </w:t>
      </w:r>
      <w:r>
        <w:rPr>
          <w:rFonts w:cs="Arial" w:asciiTheme="minorHAnsi" w:hAnsiTheme="minorHAnsi"/>
          <w:smallCaps/>
          <w:lang w:val="en"/>
        </w:rPr>
        <w:t xml:space="preserve">Party</w:t>
      </w:r>
      <w:r>
        <w:rPr>
          <w:rFonts w:cs="Arial" w:asciiTheme="minorHAnsi" w:hAnsiTheme="minorHAnsi"/>
          <w:lang w:val="en"/>
        </w:rPr>
        <w:t xml:space="preserve"> may modify its address at any time subject to notifying the other </w:t>
      </w:r>
      <w:r>
        <w:rPr>
          <w:rFonts w:cs="Arial" w:asciiTheme="minorHAnsi" w:hAnsiTheme="minorHAnsi"/>
          <w:smallCaps/>
          <w:lang w:val="en"/>
        </w:rPr>
        <w:t xml:space="preserve">Party</w:t>
      </w:r>
      <w:r>
        <w:rPr>
          <w:rFonts w:cs="Arial" w:asciiTheme="minorHAnsi" w:hAnsiTheme="minorHAnsi"/>
          <w:lang w:val="en"/>
        </w:rPr>
        <w:t xml:space="preserve"> thereof in writing.</w:t>
      </w:r>
      <w:r>
        <w:rPr>
          <w:rFonts w:cs="Arial" w:asciiTheme="minorHAnsi" w:hAnsiTheme="minorHAnsi"/>
          <w:lang w:val="en"/>
        </w:rPr>
      </w:r>
    </w:p>
    <w:p>
      <w:pPr>
        <w:pStyle w:val="1052"/>
        <w:pBdr/>
        <w:spacing w:after="60" w:before="240"/>
        <w:ind/>
        <w:jc w:val="both"/>
        <w:rPr>
          <w:rFonts w:asciiTheme="minorHAnsi" w:hAnsiTheme="minorHAnsi"/>
          <w:sz w:val="22"/>
          <w:lang w:val="en-GB"/>
        </w:rPr>
      </w:pPr>
      <w:r/>
      <w:bookmarkStart w:id="58" w:name="_Toc216881475"/>
      <w:r>
        <w:rPr>
          <w:rFonts w:asciiTheme="minorHAnsi" w:hAnsiTheme="minorHAnsi"/>
          <w:sz w:val="22"/>
          <w:lang w:val="en"/>
        </w:rPr>
        <w:t xml:space="preserve">Understaking against deforestation</w:t>
      </w:r>
      <w:bookmarkEnd w:id="58"/>
      <w:r/>
      <w:r>
        <w:rPr>
          <w:rFonts w:asciiTheme="minorHAnsi" w:hAnsiTheme="minorHAnsi"/>
          <w:sz w:val="22"/>
          <w:lang w:val="en-GB"/>
        </w:rPr>
      </w:r>
    </w:p>
    <w:p>
      <w:pPr>
        <w:pStyle w:val="1237"/>
        <w:pBdr/>
        <w:spacing/>
        <w:ind w:right="139" w:left="567"/>
        <w:jc w:val="both"/>
        <w:rPr>
          <w:rFonts w:ascii="Calibri" w:hAnsi="Calibri"/>
          <w:sz w:val="22"/>
          <w:lang w:val="en-GB"/>
        </w:rPr>
      </w:pPr>
      <w:r>
        <w:rPr>
          <w:rFonts w:ascii="Calibri" w:hAnsi="Calibri"/>
          <w:sz w:val="22"/>
          <w:lang w:val="en-GB"/>
        </w:rPr>
        <w:t xml:space="preserve">Within the framework of the p</w:t>
      </w:r>
      <w:r>
        <w:rPr>
          <w:rFonts w:ascii="Calibri" w:hAnsi="Calibri"/>
          <w:sz w:val="22"/>
          <w:lang w:val="en-GB"/>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r>
        <w:rPr>
          <w:rFonts w:ascii="Calibri" w:hAnsi="Calibri"/>
          <w:sz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rPr>
      </w:pPr>
      <w:r>
        <w:rPr>
          <w:rFonts w:asciiTheme="minorHAnsi" w:hAnsiTheme="minorHAnsi" w:cstheme="minorHAnsi"/>
          <w:sz w:val="22"/>
          <w:szCs w:val="22"/>
        </w:rPr>
        <w:t xml:space="preserve">Meat;</w:t>
      </w:r>
      <w:r>
        <w:rPr>
          <w:rFonts w:asciiTheme="minorHAnsi" w:hAnsiTheme="minorHAnsi" w:cstheme="minorHAnsi"/>
          <w:sz w:val="22"/>
          <w:szCs w:val="22"/>
        </w:rPr>
      </w:r>
    </w:p>
    <w:p>
      <w:pPr>
        <w:pStyle w:val="1270"/>
        <w:numPr>
          <w:ilvl w:val="0"/>
          <w:numId w:val="21"/>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Eggs ;</w:t>
      </w:r>
      <w:r>
        <w:rPr>
          <w:rFonts w:asciiTheme="minorHAnsi" w:hAnsiTheme="minorHAnsi" w:cstheme="minorHAnsi"/>
          <w:sz w:val="22"/>
          <w:szCs w:val="22"/>
        </w:rPr>
      </w:r>
    </w:p>
    <w:p>
      <w:pPr>
        <w:pStyle w:val="1270"/>
        <w:numPr>
          <w:ilvl w:val="0"/>
          <w:numId w:val="21"/>
        </w:numPr>
        <w:pBdr/>
        <w:spacing w:after="200" w:line="260" w:lineRule="atLeast"/>
        <w:ind w:hanging="284" w:left="851"/>
        <w:jc w:val="both"/>
        <w:rPr>
          <w:rFonts w:asciiTheme="minorHAnsi" w:hAnsiTheme="minorHAnsi" w:cstheme="minorHAnsi"/>
          <w:sz w:val="22"/>
          <w:szCs w:val="22"/>
        </w:rPr>
      </w:pPr>
      <w:r>
        <w:rPr>
          <w:rFonts w:ascii="Calibri" w:hAnsi="Calibri"/>
          <w:sz w:val="22"/>
          <w:lang w:val="en-GB"/>
        </w:rPr>
        <w:t xml:space="preserve">Dairy products ;</w:t>
      </w:r>
      <w:r>
        <w:rPr>
          <w:rFonts w:asciiTheme="minorHAnsi" w:hAnsiTheme="minorHAnsi" w:cstheme="minorHAnsi"/>
          <w:sz w:val="22"/>
          <w:szCs w:val="22"/>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Ready-made meals, margarine, spreads;</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Leather shoes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Automotive upholstery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Household and cleaning products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Agrofuels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Lumber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Solid wood or particle;</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Fuels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Paper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Cardboard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Textiles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Coffee, chocolate ;</w:t>
      </w:r>
      <w:r>
        <w:rPr>
          <w:rFonts w:asciiTheme="minorHAnsi" w:hAnsiTheme="minorHAnsi" w:cstheme="minorHAnsi"/>
          <w:sz w:val="22"/>
          <w:szCs w:val="22"/>
          <w:lang w:val="en-GB"/>
        </w:rPr>
      </w:r>
    </w:p>
    <w:p>
      <w:pPr>
        <w:pStyle w:val="1270"/>
        <w:numPr>
          <w:ilvl w:val="0"/>
          <w:numId w:val="21"/>
        </w:numPr>
        <w:pBdr/>
        <w:spacing w:after="200"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Exotic fruits ;</w:t>
      </w:r>
      <w:r>
        <w:rPr>
          <w:rFonts w:asciiTheme="minorHAnsi" w:hAnsiTheme="minorHAnsi" w:cstheme="minorHAnsi"/>
          <w:sz w:val="22"/>
          <w:szCs w:val="22"/>
          <w:lang w:val="en-GB"/>
        </w:rPr>
      </w:r>
    </w:p>
    <w:p>
      <w:pPr>
        <w:pStyle w:val="1270"/>
        <w:numPr>
          <w:ilvl w:val="0"/>
          <w:numId w:val="21"/>
        </w:numPr>
        <w:pBdr/>
        <w:spacing w:line="260" w:lineRule="atLeast"/>
        <w:ind w:hanging="284" w:left="851"/>
        <w:jc w:val="both"/>
        <w:rPr>
          <w:rFonts w:asciiTheme="minorHAnsi" w:hAnsiTheme="minorHAnsi" w:cstheme="minorHAnsi"/>
          <w:sz w:val="22"/>
          <w:szCs w:val="22"/>
          <w:lang w:val="en-GB"/>
        </w:rPr>
      </w:pPr>
      <w:r>
        <w:rPr>
          <w:rFonts w:ascii="Calibri" w:hAnsi="Calibri"/>
          <w:sz w:val="22"/>
          <w:lang w:val="en-GB"/>
        </w:rPr>
        <w:t xml:space="preserve">Electronics.</w:t>
      </w:r>
      <w:r>
        <w:rPr>
          <w:rFonts w:asciiTheme="minorHAnsi" w:hAnsiTheme="minorHAnsi" w:cstheme="minorHAnsi"/>
          <w:sz w:val="22"/>
          <w:szCs w:val="22"/>
          <w:lang w:val="en-GB"/>
        </w:rPr>
      </w:r>
    </w:p>
    <w:p>
      <w:pPr>
        <w:pBdr/>
        <w:spacing w:before="120" w:line="240" w:lineRule="auto"/>
        <w:ind w:left="567"/>
        <w:jc w:val="both"/>
        <w:rPr>
          <w:rFonts w:cs="Arial" w:asciiTheme="minorHAnsi" w:hAnsiTheme="minorHAnsi"/>
          <w:sz w:val="22"/>
          <w:szCs w:val="22"/>
          <w:lang w:val="en-GB"/>
        </w:rPr>
      </w:pPr>
      <w:r>
        <w:rPr>
          <w:rFonts w:asciiTheme="minorHAnsi" w:hAnsiTheme="minorHAnsi" w:cstheme="minorHAnsi"/>
          <w:sz w:val="22"/>
          <w:szCs w:val="22"/>
          <w:lang w:val="en-GB"/>
        </w:rPr>
        <w:t xml:space="preserve">For more information, the guide Engaging in Zero Deforestation Public Procurement is available at the following email address : </w:t>
      </w:r>
      <w:hyperlink r:id="rId24" w:tooltip="https://www.ecologie.gouv.fr/sites/default/files/Guide_politique_achat_public_zero_deforestation.pdf" w:history="1">
        <w:r>
          <w:rPr>
            <w:rStyle w:val="1239"/>
            <w:rFonts w:asciiTheme="minorHAnsi" w:hAnsiTheme="minorHAnsi"/>
            <w:sz w:val="22"/>
            <w:szCs w:val="22"/>
            <w:lang w:val="en-GB"/>
          </w:rPr>
          <w:t xml:space="preserve">https://www.ecologie.gouv.fr/sites/default/files/Guide_politique_achat_public_zero_deforestation.pdf</w:t>
        </w:r>
      </w:hyperlink>
      <w:r/>
      <w:r>
        <w:rPr>
          <w:rFonts w:cs="Arial" w:asciiTheme="minorHAnsi" w:hAnsiTheme="minorHAnsi"/>
          <w:sz w:val="22"/>
          <w:szCs w:val="22"/>
          <w:lang w:val="en-GB"/>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59" w:name="_Toc216881476"/>
      <w:r>
        <w:rPr>
          <w:rFonts w:asciiTheme="minorHAnsi" w:hAnsiTheme="minorHAnsi"/>
          <w:b/>
          <w:bCs/>
          <w:caps/>
          <w:sz w:val="24"/>
          <w:u w:val="single"/>
          <w:lang w:val="en"/>
        </w:rPr>
        <w:t xml:space="preserve">Re-examination clause</w:t>
      </w:r>
      <w:bookmarkEnd w:id="59"/>
      <w:r/>
      <w:r>
        <w:rPr>
          <w:rFonts w:asciiTheme="minorHAnsi" w:hAnsiTheme="minorHAnsi"/>
          <w:b/>
          <w:caps/>
          <w:sz w:val="24"/>
          <w:u w:val="single"/>
        </w:rPr>
      </w:r>
    </w:p>
    <w:p>
      <w:pPr>
        <w:pStyle w:val="1243"/>
        <w:widowControl w:val="false"/>
        <w:pBdr/>
        <w:spacing w:before="120"/>
        <w:ind w:left="561"/>
        <w:rPr>
          <w:rStyle w:val="1297"/>
          <w:rFonts w:ascii="Calibri" w:hAnsi="Calibri" w:eastAsia="Calibri" w:cs="Calibri"/>
          <w:lang w:val="en-GB"/>
        </w:rPr>
      </w:pPr>
      <w:r/>
      <w:bookmarkStart w:id="60" w:name="_Toc70411395"/>
      <w:r>
        <w:rPr>
          <w:rStyle w:val="1298"/>
        </w:rPr>
        <w:t xml:space="preserve">Under Article R.2194-1 et seq. of the Public Procurement Code, </w:t>
      </w:r>
      <w:r>
        <w:rPr>
          <w:rStyle w:val="1297"/>
          <w:rFonts w:ascii="Calibri" w:hAnsi="Calibri"/>
          <w:smallCaps/>
          <w:lang w:val="en-US"/>
        </w:rPr>
        <w:t xml:space="preserve">Expertise France</w:t>
      </w:r>
      <w:r>
        <w:rPr>
          <w:rStyle w:val="1298"/>
        </w:rPr>
        <w:t xml:space="preserve"> may amend the provisions of the </w:t>
      </w:r>
      <w:r>
        <w:rPr>
          <w:rStyle w:val="1297"/>
          <w:rFonts w:ascii="Calibri" w:hAnsi="Calibri"/>
          <w:smallCaps/>
          <w:lang w:val="en-US"/>
        </w:rPr>
        <w:t xml:space="preserve">Contract</w:t>
      </w:r>
      <w:r>
        <w:rPr>
          <w:rStyle w:val="1298"/>
        </w:rPr>
        <w:t xml:space="preserve"> subject to the following conditions: </w:t>
      </w:r>
      <w:r>
        <w:rPr>
          <w:rStyle w:val="1297"/>
          <w:rFonts w:ascii="Calibri" w:hAnsi="Calibri" w:eastAsia="Calibri" w:cs="Calibri"/>
          <w:lang w:val="en-GB"/>
        </w:rPr>
      </w:r>
    </w:p>
    <w:p>
      <w:pPr>
        <w:pStyle w:val="1243"/>
        <w:widowControl w:val="false"/>
        <w:numPr>
          <w:ilvl w:val="0"/>
          <w:numId w:val="29"/>
        </w:numPr>
        <w:pBdr>
          <w:top w:val="none" w:color="000000" w:sz="4" w:space="0"/>
          <w:left w:val="none" w:color="000000" w:sz="4" w:space="0"/>
          <w:bottom w:val="none" w:color="000000" w:sz="4" w:space="0"/>
          <w:right w:val="none" w:color="000000" w:sz="4" w:space="0"/>
          <w:between w:val="none" w:color="000000" w:sz="4" w:space="0"/>
        </w:pBdr>
        <w:spacing w:before="120"/>
        <w:ind/>
        <w:rPr>
          <w:rFonts w:ascii="Calibri" w:hAnsi="Calibri"/>
          <w:lang w:val="en-US"/>
        </w:rPr>
      </w:pPr>
      <w:r>
        <w:rPr>
          <w:rStyle w:val="1297"/>
          <w:rFonts w:ascii="Calibri" w:hAnsi="Calibri"/>
          <w:lang w:val="en-US"/>
        </w:rPr>
        <w:t xml:space="preserve">Substitution with a new pricing schedule if deletions, modifications or additions are made to the items in the initial pricing schedule, subject to approval by </w:t>
      </w:r>
      <w:r>
        <w:rPr>
          <w:rStyle w:val="1297"/>
          <w:rFonts w:ascii="Calibri" w:hAnsi="Calibri"/>
          <w:smallCaps/>
          <w:lang w:val="en-US"/>
        </w:rPr>
        <w:t xml:space="preserve">Expertise France</w:t>
      </w:r>
      <w:r>
        <w:rPr>
          <w:rStyle w:val="1297"/>
          <w:rFonts w:ascii="Calibri" w:hAnsi="Calibri"/>
          <w:lang w:val="en-US"/>
        </w:rPr>
        <w:t xml:space="preserve">;</w:t>
      </w:r>
      <w:r>
        <w:rPr>
          <w:rFonts w:ascii="Calibri" w:hAnsi="Calibri"/>
          <w:lang w:val="en-US"/>
        </w:rPr>
      </w:r>
    </w:p>
    <w:p>
      <w:pPr>
        <w:pStyle w:val="1243"/>
        <w:widowControl w:val="false"/>
        <w:numPr>
          <w:ilvl w:val="0"/>
          <w:numId w:val="29"/>
        </w:numPr>
        <w:pBdr>
          <w:top w:val="none" w:color="000000" w:sz="4" w:space="0"/>
          <w:left w:val="none" w:color="000000" w:sz="4" w:space="0"/>
          <w:bottom w:val="none" w:color="000000" w:sz="4" w:space="0"/>
          <w:right w:val="none" w:color="000000" w:sz="4" w:space="0"/>
          <w:between w:val="none" w:color="000000" w:sz="4" w:space="0"/>
        </w:pBdr>
        <w:spacing w:before="120"/>
        <w:ind/>
        <w:rPr>
          <w:rFonts w:ascii="Calibri" w:hAnsi="Calibri"/>
          <w:lang w:val="en-US"/>
        </w:rPr>
      </w:pPr>
      <w:r>
        <w:rPr>
          <w:rFonts w:ascii="Calibri" w:hAnsi="Calibri"/>
          <w:lang w:val="en-US"/>
        </w:rPr>
        <w:t xml:space="preserve">Revision of technical elements (clarification of deliverables, producer technical definitions, equipment technical documents, updated instructions, etc.).</w:t>
      </w:r>
      <w:r>
        <w:rPr>
          <w:rFonts w:ascii="Calibri" w:hAnsi="Calibri"/>
          <w:lang w:val="en-US"/>
        </w:rPr>
      </w:r>
    </w:p>
    <w:p>
      <w:pPr>
        <w:pStyle w:val="1243"/>
        <w:widowControl w:val="false"/>
        <w:pBdr/>
        <w:spacing w:before="120"/>
        <w:ind w:left="561"/>
        <w:rPr>
          <w:rStyle w:val="1297"/>
          <w:rFonts w:ascii="Calibri" w:hAnsi="Calibri" w:eastAsia="Calibri" w:cs="Calibri"/>
          <w:lang w:val="en-GB"/>
        </w:rPr>
      </w:pPr>
      <w:r>
        <w:rPr>
          <w:rStyle w:val="1298"/>
        </w:rPr>
        <w:t xml:space="preserve">Such modifications shall be notified to the Contractor: by concluding an amendment.</w:t>
      </w:r>
      <w:r>
        <w:rPr>
          <w:rStyle w:val="1297"/>
          <w:rFonts w:ascii="Calibri" w:hAnsi="Calibri" w:eastAsia="Calibri" w:cs="Calibri"/>
          <w:lang w:val="en-GB"/>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61" w:name="_Toc216881477"/>
      <w:r>
        <w:rPr>
          <w:rFonts w:asciiTheme="minorHAnsi" w:hAnsiTheme="minorHAnsi"/>
          <w:b/>
          <w:bCs/>
          <w:caps/>
          <w:sz w:val="24"/>
          <w:u w:val="single"/>
          <w:lang w:val="en"/>
        </w:rPr>
        <w:t xml:space="preserve">Similar services</w:t>
      </w:r>
      <w:bookmarkEnd w:id="60"/>
      <w:r/>
      <w:bookmarkEnd w:id="61"/>
      <w:r/>
      <w:r>
        <w:rPr>
          <w:rFonts w:asciiTheme="minorHAnsi" w:hAnsiTheme="minorHAnsi"/>
          <w:b/>
          <w:caps/>
          <w:sz w:val="24"/>
          <w:u w:val="single"/>
        </w:rPr>
      </w:r>
    </w:p>
    <w:p>
      <w:pPr>
        <w:widowControl w:val="false"/>
        <w:pBdr/>
        <w:spacing w:before="120" w:line="240" w:lineRule="auto"/>
        <w:ind w:left="561"/>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Under Article R.2122-7 of the French Public Procurement Code,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may be awarded a contract for similar services to those of the initial contract without advertising or competitive bidding.</w:t>
      </w:r>
      <w:r>
        <w:rPr>
          <w:rFonts w:eastAsia="Times New Roman" w:cs="Arial" w:asciiTheme="minorHAnsi" w:hAnsiTheme="minorHAnsi"/>
          <w:sz w:val="22"/>
          <w:lang w:val="en"/>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62" w:name="_Toc216881478"/>
      <w:r>
        <w:rPr>
          <w:rFonts w:asciiTheme="minorHAnsi" w:hAnsiTheme="minorHAnsi"/>
          <w:b/>
          <w:bCs/>
          <w:caps/>
          <w:sz w:val="24"/>
          <w:u w:val="single"/>
          <w:lang w:val="en"/>
        </w:rPr>
        <w:t xml:space="preserve">penalties</w:t>
      </w:r>
      <w:bookmarkEnd w:id="62"/>
      <w:r/>
      <w:r>
        <w:rPr>
          <w:rFonts w:asciiTheme="minorHAnsi" w:hAnsiTheme="minorHAnsi"/>
          <w:b/>
          <w:caps/>
          <w:sz w:val="24"/>
          <w:u w:val="single"/>
        </w:rPr>
      </w:r>
    </w:p>
    <w:p>
      <w:pPr>
        <w:pStyle w:val="1243"/>
        <w:widowControl w:val="false"/>
        <w:pBdr/>
        <w:spacing/>
        <w:ind/>
        <w:rPr>
          <w:rFonts w:cs="Arial" w:asciiTheme="minorHAnsi" w:hAnsiTheme="minorHAnsi"/>
          <w:szCs w:val="22"/>
          <w:lang w:val="en-GB"/>
        </w:rPr>
      </w:pPr>
      <w:r>
        <w:rPr>
          <w:rFonts w:cs="Arial" w:asciiTheme="minorHAnsi" w:hAnsiTheme="minorHAnsi"/>
          <w:szCs w:val="22"/>
          <w:lang w:val="en"/>
        </w:rPr>
        <w:t xml:space="preserve">The amount of penalties will be applied within the calculation of the balance due under the relevant item or purchase order.</w:t>
      </w:r>
      <w:r>
        <w:rPr>
          <w:rFonts w:cs="Arial" w:asciiTheme="minorHAnsi" w:hAnsiTheme="minorHAnsi"/>
          <w:szCs w:val="22"/>
          <w:lang w:val="en-GB"/>
        </w:rPr>
      </w:r>
    </w:p>
    <w:p>
      <w:pPr>
        <w:pStyle w:val="1052"/>
        <w:pBdr/>
        <w:spacing w:after="60" w:before="120"/>
        <w:ind/>
        <w:jc w:val="both"/>
        <w:rPr>
          <w:rFonts w:asciiTheme="minorHAnsi" w:hAnsiTheme="minorHAnsi"/>
          <w:sz w:val="22"/>
          <w:szCs w:val="22"/>
          <w:lang w:val="en-GB"/>
        </w:rPr>
      </w:pPr>
      <w:r/>
      <w:bookmarkStart w:id="63" w:name="_Toc216881479"/>
      <w:r>
        <w:rPr>
          <w:rFonts w:asciiTheme="minorHAnsi" w:hAnsiTheme="minorHAnsi"/>
          <w:sz w:val="22"/>
          <w:szCs w:val="22"/>
          <w:lang w:val="en"/>
        </w:rPr>
        <w:t xml:space="preserve">Penalties for periodic documentary deliverables</w:t>
      </w:r>
      <w:bookmarkEnd w:id="63"/>
      <w:r/>
      <w:r>
        <w:rPr>
          <w:rFonts w:asciiTheme="minorHAnsi" w:hAnsiTheme="minorHAnsi"/>
          <w:sz w:val="22"/>
          <w:szCs w:val="22"/>
          <w:lang w:val="en-GB"/>
        </w:rPr>
      </w:r>
    </w:p>
    <w:p>
      <w:pPr>
        <w:pStyle w:val="1243"/>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052"/>
        <w:pBdr/>
        <w:spacing w:after="60" w:before="120"/>
        <w:ind/>
        <w:jc w:val="both"/>
        <w:rPr>
          <w:rFonts w:asciiTheme="minorHAnsi" w:hAnsiTheme="minorHAnsi"/>
          <w:sz w:val="22"/>
          <w:szCs w:val="22"/>
          <w:lang w:val="en-GB"/>
        </w:rPr>
      </w:pPr>
      <w:r/>
      <w:bookmarkStart w:id="64" w:name="_Toc216881480"/>
      <w:r>
        <w:rPr>
          <w:rFonts w:asciiTheme="minorHAnsi" w:hAnsiTheme="minorHAnsi"/>
          <w:sz w:val="22"/>
          <w:szCs w:val="22"/>
          <w:lang w:val="en"/>
        </w:rPr>
        <w:t xml:space="preserve">Penalties applicable to submission of final deliverables</w:t>
      </w:r>
      <w:bookmarkEnd w:id="64"/>
      <w:r/>
      <w:r>
        <w:rPr>
          <w:rFonts w:asciiTheme="minorHAnsi" w:hAnsiTheme="minorHAnsi"/>
          <w:sz w:val="22"/>
          <w:szCs w:val="22"/>
          <w:lang w:val="en-GB"/>
        </w:rPr>
      </w:r>
    </w:p>
    <w:p>
      <w:pPr>
        <w:pStyle w:val="1243"/>
        <w:widowControl w:val="false"/>
        <w:pBdr/>
        <w:spacing/>
        <w:ind/>
        <w:rPr>
          <w:rFonts w:cs="Arial" w:asciiTheme="minorHAnsi" w:hAnsiTheme="minorHAnsi"/>
          <w:szCs w:val="22"/>
          <w:lang w:val="en-GB"/>
        </w:rPr>
      </w:pPr>
      <w:r>
        <w:rPr>
          <w:rFonts w:cs="Arial" w:asciiTheme="minorHAnsi" w:hAnsiTheme="minorHAnsi"/>
          <w:szCs w:val="22"/>
          <w:lang w:val="en"/>
        </w:rPr>
        <w:t xml:space="preserve">By way of derogation from Article 14 of the CCAG, penalties are set at the fixed rate of €100 net per day of delay in the delivery of the final deliverables specified in Article 6 “Deliverables table” of the </w:t>
      </w:r>
      <w:r>
        <w:rPr>
          <w:rFonts w:cs="Arial" w:asciiTheme="minorHAnsi" w:hAnsiTheme="minorHAnsi"/>
          <w:smallCaps/>
          <w:szCs w:val="22"/>
          <w:lang w:val="en"/>
        </w:rPr>
        <w:t xml:space="preserve">Contract</w:t>
      </w:r>
      <w:r>
        <w:rPr>
          <w:rFonts w:cs="Arial" w:asciiTheme="minorHAnsi" w:hAnsiTheme="minorHAnsi"/>
          <w:szCs w:val="22"/>
          <w:lang w:val="en"/>
        </w:rPr>
        <w:t xml:space="preserve">.</w:t>
      </w:r>
      <w:r>
        <w:rPr>
          <w:rFonts w:cs="Arial" w:asciiTheme="minorHAnsi" w:hAnsiTheme="minorHAnsi"/>
          <w:szCs w:val="22"/>
          <w:lang w:val="en-GB"/>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65" w:name="_Toc216881481"/>
      <w:r>
        <w:rPr>
          <w:rFonts w:asciiTheme="minorHAnsi" w:hAnsiTheme="minorHAnsi"/>
          <w:b/>
          <w:bCs/>
          <w:caps/>
          <w:sz w:val="24"/>
          <w:u w:val="single"/>
          <w:lang w:val="en"/>
        </w:rPr>
        <w:t xml:space="preserve">intellectual property</w:t>
      </w:r>
      <w:bookmarkEnd w:id="65"/>
      <w:r/>
      <w:r>
        <w:rPr>
          <w:rFonts w:asciiTheme="minorHAnsi" w:hAnsiTheme="minorHAnsi"/>
          <w:b/>
          <w:caps/>
          <w:sz w:val="24"/>
          <w:u w:val="single"/>
        </w:rPr>
      </w:r>
    </w:p>
    <w:p>
      <w:pPr>
        <w:pStyle w:val="1052"/>
        <w:pBdr/>
        <w:spacing w:after="60" w:before="120"/>
        <w:ind/>
        <w:jc w:val="both"/>
        <w:rPr>
          <w:rFonts w:asciiTheme="minorHAnsi" w:hAnsiTheme="minorHAnsi"/>
          <w:sz w:val="22"/>
          <w:szCs w:val="22"/>
        </w:rPr>
      </w:pPr>
      <w:r/>
      <w:bookmarkStart w:id="66" w:name="_Toc216881482"/>
      <w:r/>
      <w:bookmarkStart w:id="67" w:name="_Toc392669651"/>
      <w:r>
        <w:rPr>
          <w:rFonts w:asciiTheme="minorHAnsi" w:hAnsiTheme="minorHAnsi"/>
          <w:sz w:val="22"/>
          <w:szCs w:val="22"/>
          <w:lang w:val="en"/>
        </w:rPr>
        <w:t xml:space="preserve">Definitions</w:t>
      </w:r>
      <w:bookmarkEnd w:id="66"/>
      <w:r/>
      <w:r>
        <w:rPr>
          <w:rFonts w:asciiTheme="minorHAnsi" w:hAnsiTheme="minorHAnsi"/>
          <w:sz w:val="22"/>
          <w:szCs w:val="22"/>
        </w:rPr>
      </w:r>
    </w:p>
    <w:p>
      <w:pPr>
        <w:pBdr/>
        <w:spacing w:after="120"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Assignment provided for by this article requires definition of the following terms: </w:t>
      </w:r>
      <w:r>
        <w:rPr>
          <w:rFonts w:eastAsia="Times New Roman" w:cs="Arial" w:asciiTheme="minorHAnsi" w:hAnsiTheme="minorHAnsi"/>
          <w:sz w:val="22"/>
          <w:szCs w:val="22"/>
          <w:lang w:val="en-GB"/>
        </w:rPr>
      </w:r>
    </w:p>
    <w:p>
      <w:pPr>
        <w:pStyle w:val="1270"/>
        <w:numPr>
          <w:ilvl w:val="0"/>
          <w:numId w:val="12"/>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“Result” means any intended outcome of the performance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which is delivered and definitively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Style w:val="1270"/>
        <w:numPr>
          <w:ilvl w:val="0"/>
          <w:numId w:val="12"/>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“Creator” means any natural person who contributed to the production of the result;</w:t>
      </w:r>
      <w:r>
        <w:rPr>
          <w:rFonts w:eastAsia="Times New Roman" w:cs="Arial" w:asciiTheme="minorHAnsi" w:hAnsiTheme="minorHAnsi"/>
          <w:sz w:val="22"/>
          <w:szCs w:val="22"/>
          <w:lang w:val="en-GB"/>
        </w:rPr>
      </w:r>
    </w:p>
    <w:p>
      <w:pPr>
        <w:pStyle w:val="1270"/>
        <w:numPr>
          <w:ilvl w:val="0"/>
          <w:numId w:val="12"/>
        </w:numPr>
        <w:pBdr/>
        <w:spacing w:after="120" w:line="240" w:lineRule="auto"/>
        <w:ind w:hanging="491" w:left="1134"/>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“Pre-existing right” means any intellectual property right, including pre-existing technologies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or any third party with a prior interest in the order to be executed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Style w:val="1052"/>
        <w:pBdr/>
        <w:spacing w:after="60" w:before="120"/>
        <w:ind/>
        <w:jc w:val="both"/>
        <w:rPr>
          <w:rFonts w:asciiTheme="minorHAnsi" w:hAnsiTheme="minorHAnsi"/>
          <w:sz w:val="22"/>
          <w:szCs w:val="22"/>
          <w:lang w:val="en-GB"/>
        </w:rPr>
      </w:pPr>
      <w:r/>
      <w:bookmarkStart w:id="68" w:name="_Toc216881483"/>
      <w:r>
        <w:rPr>
          <w:rFonts w:asciiTheme="minorHAnsi" w:hAnsiTheme="minorHAnsi"/>
          <w:sz w:val="22"/>
          <w:szCs w:val="22"/>
          <w:lang w:val="en"/>
        </w:rPr>
        <w:t xml:space="preserve">Ownership of results</w:t>
      </w:r>
      <w:bookmarkEnd w:id="68"/>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This Assignment only covers the economic rights of creators under the conditions set out in Article 8.3 of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The moral rights of creators are excluded. Such moral rights cover the disclosure, paternity and respect for the integrity of the results treated as a work within the meaning of the French Intellectual Property Code.</w:t>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The aforementioned elements shall be deemed to be effectively transferred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after acceptance of the results delivered to it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Bdr/>
        <w:spacing w:line="240" w:lineRule="auto"/>
        <w:ind w:left="567"/>
        <w:jc w:val="both"/>
        <w:rPr>
          <w:rFonts w:cs="Arial"/>
          <w:sz w:val="22"/>
          <w:szCs w:val="22"/>
          <w:lang w:val="en-GB"/>
        </w:rPr>
      </w:pPr>
      <w:r>
        <w:rPr>
          <w:rFonts w:eastAsia="Times New Roman" w:cs="Arial" w:asciiTheme="minorHAnsi" w:hAnsiTheme="minorHAnsi"/>
          <w:sz w:val="22"/>
          <w:szCs w:val="22"/>
          <w:lang w:val="en"/>
        </w:rPr>
        <w:t xml:space="preserve">The payment of the price to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is deemed to include any fees payable to the Contractor in relation to the acquisition of rights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notably all forms of exploitation of the results. The acquisition of such covers all territories worldwide. </w:t>
      </w:r>
      <w:r>
        <w:rPr>
          <w:rFonts w:cs="Arial"/>
          <w:sz w:val="22"/>
          <w:szCs w:val="22"/>
          <w:lang w:val="en-GB"/>
        </w:rPr>
      </w:r>
    </w:p>
    <w:p>
      <w:pPr>
        <w:pStyle w:val="1052"/>
        <w:pBdr/>
        <w:spacing w:after="60" w:before="120"/>
        <w:ind/>
        <w:jc w:val="both"/>
        <w:rPr>
          <w:rFonts w:asciiTheme="minorHAnsi" w:hAnsiTheme="minorHAnsi"/>
          <w:sz w:val="22"/>
          <w:szCs w:val="22"/>
          <w:lang w:val="en-GB"/>
        </w:rPr>
      </w:pPr>
      <w:r/>
      <w:bookmarkStart w:id="69" w:name="_Toc216881484"/>
      <w:r>
        <w:rPr>
          <w:rFonts w:asciiTheme="minorHAnsi" w:hAnsiTheme="minorHAnsi"/>
          <w:sz w:val="22"/>
          <w:szCs w:val="22"/>
          <w:lang w:val="en"/>
        </w:rPr>
        <w:t xml:space="preserve">Exploitation of results</w:t>
      </w:r>
      <w:bookmarkEnd w:id="69"/>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By acquiring title to the results developed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becomes the holder of all economic copyright relating to such rights. In this regard, yet without the list being exhaustive,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may exploit the results for the following purposes: </w:t>
      </w:r>
      <w:r>
        <w:rPr>
          <w:rFonts w:eastAsia="Times New Roman" w:cs="Arial" w:asciiTheme="minorHAnsi" w:hAnsiTheme="minorHAnsi"/>
          <w:sz w:val="22"/>
          <w:szCs w:val="22"/>
          <w:lang w:val="en-GB"/>
        </w:rPr>
      </w:r>
    </w:p>
    <w:p>
      <w:pPr>
        <w:pStyle w:val="1270"/>
        <w:numPr>
          <w:ilvl w:val="0"/>
          <w:numId w:val="1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internal exploitation:</w:t>
      </w:r>
      <w:r>
        <w:rPr>
          <w:rFonts w:eastAsia="Times New Roman" w:cs="Arial" w:asciiTheme="minorHAnsi" w:hAnsiTheme="minorHAnsi"/>
          <w:sz w:val="22"/>
          <w:szCs w:val="22"/>
        </w:rPr>
      </w:r>
    </w:p>
    <w:p>
      <w:pPr>
        <w:pStyle w:val="1270"/>
        <w:numPr>
          <w:ilvl w:val="1"/>
          <w:numId w:val="1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disclosure to its personnel; </w:t>
      </w:r>
      <w:r>
        <w:rPr>
          <w:rFonts w:eastAsia="Times New Roman" w:cs="Arial" w:asciiTheme="minorHAnsi" w:hAnsiTheme="minorHAnsi"/>
          <w:sz w:val="22"/>
          <w:szCs w:val="22"/>
        </w:rPr>
      </w:r>
    </w:p>
    <w:p>
      <w:pPr>
        <w:pStyle w:val="1270"/>
        <w:numPr>
          <w:ilvl w:val="1"/>
          <w:numId w:val="1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communication disclosure to persons and entities working for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or cooperating with it, including contractors, subcontractors (whether legal or natural persons), EU institutions, agencies and bodies and member states' institutions;</w:t>
      </w:r>
      <w:r>
        <w:rPr>
          <w:rFonts w:eastAsia="Times New Roman" w:cs="Arial" w:asciiTheme="minorHAnsi" w:hAnsiTheme="minorHAnsi"/>
          <w:sz w:val="22"/>
          <w:szCs w:val="22"/>
          <w:lang w:val="en-GB"/>
        </w:rPr>
      </w:r>
    </w:p>
    <w:p>
      <w:pPr>
        <w:pStyle w:val="1270"/>
        <w:numPr>
          <w:ilvl w:val="1"/>
          <w:numId w:val="10"/>
        </w:numPr>
        <w:pBdr/>
        <w:spacing w:line="240" w:lineRule="auto"/>
        <w:ind w:hanging="283" w:left="1276"/>
        <w:jc w:val="both"/>
        <w:rPr>
          <w:rFonts w:eastAsia="Times New Roman" w:cs="Arial" w:asciiTheme="minorHAnsi" w:hAnsiTheme="minorHAnsi"/>
          <w:lang w:val="en-GB"/>
        </w:rPr>
      </w:pPr>
      <w:r>
        <w:rPr>
          <w:rFonts w:eastAsia="Times New Roman" w:cs="Arial" w:asciiTheme="minorHAnsi" w:hAnsiTheme="minorHAnsi"/>
          <w:lang w:val="en"/>
        </w:rPr>
        <w:t xml:space="preserve">installing, uploading, processing, arranging, compiling, combining, retrieving, copying, reproducing in whole or in part and in unlimited number of copies.</w:t>
      </w:r>
      <w:r>
        <w:rPr>
          <w:rFonts w:eastAsia="Times New Roman" w:cs="Arial" w:asciiTheme="minorHAnsi" w:hAnsiTheme="minorHAnsi"/>
          <w:lang w:val="en-GB"/>
        </w:rPr>
      </w:r>
    </w:p>
    <w:p>
      <w:pPr>
        <w:pStyle w:val="1270"/>
        <w:numPr>
          <w:ilvl w:val="0"/>
          <w:numId w:val="1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distribution to the public:</w:t>
      </w:r>
      <w:r>
        <w:rPr>
          <w:rFonts w:eastAsia="Times New Roman" w:cs="Arial" w:asciiTheme="minorHAnsi" w:hAnsiTheme="minorHAnsi"/>
          <w:sz w:val="22"/>
          <w:szCs w:val="22"/>
        </w:rPr>
      </w:r>
    </w:p>
    <w:p>
      <w:pPr>
        <w:pStyle w:val="1270"/>
        <w:numPr>
          <w:ilvl w:val="1"/>
          <w:numId w:val="1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in paper, electronic or digital format;</w:t>
      </w:r>
      <w:r>
        <w:rPr>
          <w:rFonts w:eastAsia="Times New Roman" w:cs="Arial" w:asciiTheme="minorHAnsi" w:hAnsiTheme="minorHAnsi"/>
          <w:sz w:val="22"/>
          <w:szCs w:val="22"/>
          <w:lang w:val="en-GB"/>
        </w:rPr>
      </w:r>
    </w:p>
    <w:p>
      <w:pPr>
        <w:pStyle w:val="1270"/>
        <w:numPr>
          <w:ilvl w:val="1"/>
          <w:numId w:val="1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the internet as a downloadable/non-downloadable file; </w:t>
      </w:r>
      <w:r>
        <w:rPr>
          <w:rFonts w:eastAsia="Times New Roman" w:cs="Arial" w:asciiTheme="minorHAnsi" w:hAnsiTheme="minorHAnsi"/>
          <w:sz w:val="22"/>
          <w:szCs w:val="22"/>
          <w:lang w:val="en-GB"/>
        </w:rPr>
      </w:r>
    </w:p>
    <w:p>
      <w:pPr>
        <w:pStyle w:val="1270"/>
        <w:numPr>
          <w:ilvl w:val="1"/>
          <w:numId w:val="1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via display, radio or television broadcasting or any other transmission technique;</w:t>
      </w:r>
      <w:r>
        <w:rPr>
          <w:rFonts w:eastAsia="Times New Roman" w:cs="Arial" w:asciiTheme="minorHAnsi" w:hAnsiTheme="minorHAnsi"/>
          <w:sz w:val="22"/>
          <w:szCs w:val="22"/>
          <w:lang w:val="en-GB"/>
        </w:rPr>
      </w:r>
    </w:p>
    <w:p>
      <w:pPr>
        <w:pStyle w:val="1270"/>
        <w:numPr>
          <w:ilvl w:val="1"/>
          <w:numId w:val="1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otherwise in any form and by any method. </w:t>
      </w:r>
      <w:r>
        <w:rPr>
          <w:rFonts w:eastAsia="Times New Roman" w:cs="Arial" w:asciiTheme="minorHAnsi" w:hAnsiTheme="minorHAnsi"/>
          <w:sz w:val="22"/>
          <w:szCs w:val="22"/>
          <w:lang w:val="en-GB"/>
        </w:rPr>
      </w:r>
    </w:p>
    <w:p>
      <w:pPr>
        <w:pStyle w:val="1270"/>
        <w:numPr>
          <w:ilvl w:val="0"/>
          <w:numId w:val="11"/>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modifications:</w:t>
      </w:r>
      <w:r>
        <w:rPr>
          <w:rFonts w:eastAsia="Times New Roman" w:cs="Arial" w:asciiTheme="minorHAnsi" w:hAnsiTheme="minorHAnsi"/>
          <w:sz w:val="22"/>
          <w:szCs w:val="22"/>
        </w:rPr>
      </w:r>
    </w:p>
    <w:p>
      <w:pPr>
        <w:pStyle w:val="1270"/>
        <w:numPr>
          <w:ilvl w:val="1"/>
          <w:numId w:val="1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modification of content, form or technique; </w:t>
      </w:r>
      <w:r>
        <w:rPr>
          <w:rFonts w:eastAsia="Times New Roman" w:cs="Arial" w:asciiTheme="minorHAnsi" w:hAnsiTheme="minorHAnsi"/>
          <w:sz w:val="22"/>
          <w:szCs w:val="22"/>
          <w:lang w:val="en-GB"/>
        </w:rPr>
      </w:r>
    </w:p>
    <w:p>
      <w:pPr>
        <w:pStyle w:val="1270"/>
        <w:numPr>
          <w:ilvl w:val="1"/>
          <w:numId w:val="10"/>
        </w:numPr>
        <w:pBdr/>
        <w:spacing w:line="240" w:lineRule="auto"/>
        <w:ind w:hanging="283" w:left="1276"/>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addition of new elements of content and form;</w:t>
      </w:r>
      <w:r>
        <w:rPr>
          <w:rFonts w:eastAsia="Times New Roman" w:cs="Arial" w:asciiTheme="minorHAnsi" w:hAnsiTheme="minorHAnsi"/>
          <w:sz w:val="22"/>
          <w:szCs w:val="22"/>
          <w:lang w:val="en-GB"/>
        </w:rPr>
      </w:r>
    </w:p>
    <w:p>
      <w:pPr>
        <w:pStyle w:val="1270"/>
        <w:numPr>
          <w:ilvl w:val="1"/>
          <w:numId w:val="1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adaptation using new media;</w:t>
      </w:r>
      <w:r>
        <w:rPr>
          <w:rFonts w:eastAsia="Times New Roman" w:cs="Arial" w:asciiTheme="minorHAnsi" w:hAnsiTheme="minorHAnsi"/>
          <w:sz w:val="22"/>
          <w:szCs w:val="22"/>
        </w:rPr>
      </w:r>
    </w:p>
    <w:p>
      <w:pPr>
        <w:pStyle w:val="1270"/>
        <w:numPr>
          <w:ilvl w:val="1"/>
          <w:numId w:val="1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translation into any language;</w:t>
      </w:r>
      <w:r>
        <w:rPr>
          <w:rFonts w:eastAsia="Times New Roman" w:cs="Arial" w:asciiTheme="minorHAnsi" w:hAnsiTheme="minorHAnsi"/>
          <w:sz w:val="22"/>
          <w:szCs w:val="22"/>
        </w:rPr>
      </w:r>
    </w:p>
    <w:p>
      <w:pPr>
        <w:pStyle w:val="1270"/>
        <w:numPr>
          <w:ilvl w:val="1"/>
          <w:numId w:val="10"/>
        </w:numPr>
        <w:pBdr/>
        <w:spacing w:line="240" w:lineRule="auto"/>
        <w:ind w:hanging="283" w:left="1276"/>
        <w:jc w:val="both"/>
        <w:rPr>
          <w:rFonts w:eastAsia="Times New Roman" w:cs="Arial" w:asciiTheme="minorHAnsi" w:hAnsiTheme="minorHAnsi"/>
          <w:sz w:val="22"/>
          <w:szCs w:val="22"/>
        </w:rPr>
      </w:pPr>
      <w:r>
        <w:rPr>
          <w:rFonts w:eastAsia="Times New Roman" w:cs="Arial" w:asciiTheme="minorHAnsi" w:hAnsiTheme="minorHAnsi"/>
          <w:sz w:val="22"/>
          <w:szCs w:val="22"/>
          <w:lang w:val="en"/>
        </w:rPr>
        <w:t xml:space="preserve">digitisation and computer processing.</w:t>
      </w:r>
      <w:r>
        <w:rPr>
          <w:rFonts w:eastAsia="Times New Roman" w:cs="Arial" w:asciiTheme="minorHAnsi" w:hAnsiTheme="minorHAnsi"/>
          <w:sz w:val="22"/>
          <w:szCs w:val="22"/>
        </w:rPr>
      </w:r>
    </w:p>
    <w:p>
      <w:pPr>
        <w:pStyle w:val="1052"/>
        <w:pBdr/>
        <w:spacing w:after="60" w:before="120"/>
        <w:ind/>
        <w:jc w:val="both"/>
        <w:rPr>
          <w:rFonts w:asciiTheme="minorHAnsi" w:hAnsiTheme="minorHAnsi"/>
          <w:sz w:val="22"/>
          <w:szCs w:val="22"/>
        </w:rPr>
      </w:pPr>
      <w:r/>
      <w:bookmarkStart w:id="70" w:name="_Toc216881485"/>
      <w:r>
        <w:rPr>
          <w:rFonts w:asciiTheme="minorHAnsi" w:hAnsiTheme="minorHAnsi"/>
          <w:sz w:val="22"/>
          <w:szCs w:val="22"/>
          <w:lang w:val="en"/>
        </w:rPr>
        <w:t xml:space="preserve">Licensing of pre-existing rights</w:t>
      </w:r>
      <w:bookmarkEnd w:id="70"/>
      <w:r>
        <w:rPr>
          <w:rFonts w:asciiTheme="minorHAnsi" w:hAnsiTheme="minorHAnsi"/>
          <w:sz w:val="22"/>
          <w:szCs w:val="22"/>
          <w:lang w:val="en"/>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shall not acquire ownership of pre-existing rights.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license the pre-existing rights on a royalty-free, non-exclusive and irrevocable basis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which may use the pre-existing rights as set out in Article 8.3. Such licences shall become effective from the moment the results are delivered by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and accepted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On delivery of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may, as required, provide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with a list of pre-existing rights and third parties' rights, including those of its personnel, of creators and of other right holders. The licensing of pre-existing rights to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under the </w:t>
      </w:r>
      <w:r>
        <w:rPr>
          <w:rFonts w:eastAsia="Times New Roman" w:cs="Arial" w:asciiTheme="minorHAnsi" w:hAnsiTheme="minorHAnsi"/>
          <w:smallCaps/>
          <w:sz w:val="22"/>
          <w:szCs w:val="22"/>
          <w:lang w:val="en"/>
        </w:rPr>
        <w:t xml:space="preserve">Contract</w:t>
      </w:r>
      <w:r>
        <w:rPr>
          <w:rFonts w:eastAsia="Times New Roman" w:cs="Arial" w:asciiTheme="minorHAnsi" w:hAnsiTheme="minorHAnsi"/>
          <w:sz w:val="22"/>
          <w:szCs w:val="22"/>
          <w:lang w:val="en"/>
        </w:rPr>
        <w:t xml:space="preserve"> covers all territories worldwide and is valid for the whole duration of intellectual property rights protection.</w:t>
      </w:r>
      <w:r>
        <w:rPr>
          <w:rFonts w:eastAsia="Times New Roman" w:cs="Arial" w:asciiTheme="minorHAnsi" w:hAnsiTheme="minorHAnsi"/>
          <w:sz w:val="22"/>
          <w:szCs w:val="22"/>
          <w:lang w:val="en-GB"/>
        </w:rPr>
      </w:r>
    </w:p>
    <w:p>
      <w:pPr>
        <w:pStyle w:val="1052"/>
        <w:pBdr/>
        <w:spacing w:after="60" w:before="120"/>
        <w:ind/>
        <w:jc w:val="both"/>
        <w:rPr>
          <w:rFonts w:asciiTheme="minorHAnsi" w:hAnsiTheme="minorHAnsi"/>
          <w:sz w:val="22"/>
          <w:szCs w:val="22"/>
          <w:lang w:val="en-GB"/>
        </w:rPr>
      </w:pPr>
      <w:r/>
      <w:bookmarkStart w:id="71" w:name="_Toc216881486"/>
      <w:r>
        <w:rPr>
          <w:rFonts w:asciiTheme="minorHAnsi" w:hAnsiTheme="minorHAnsi"/>
          <w:sz w:val="22"/>
          <w:szCs w:val="22"/>
          <w:lang w:val="en"/>
        </w:rPr>
        <w:t xml:space="preserve">Guarantees</w:t>
      </w:r>
      <w:bookmarkEnd w:id="71"/>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When delivering the results,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warrant that they are free of rights or claims from creators and third parties, including in relation to pre-existing rights, for any use envisaged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 </w:t>
      </w:r>
      <w:r>
        <w:rPr>
          <w:rFonts w:eastAsia="Times New Roman" w:cs="Arial"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On request from </w:t>
      </w:r>
      <w:r>
        <w:rPr>
          <w:rFonts w:eastAsia="Times New Roman" w:cs="Arial" w:asciiTheme="minorHAnsi" w:hAnsiTheme="minorHAnsi"/>
          <w:smallCaps/>
          <w:sz w:val="22"/>
          <w:szCs w:val="22"/>
          <w:lang w:val="en"/>
        </w:rPr>
        <w:t xml:space="preserve">Expertise</w:t>
      </w:r>
      <w:r>
        <w:rPr>
          <w:rFonts w:eastAsia="Times New Roman" w:cs="Arial" w:asciiTheme="minorHAnsi" w:hAnsiTheme="minorHAnsi"/>
          <w:sz w:val="22"/>
          <w:szCs w:val="22"/>
          <w:lang w:val="en"/>
        </w:rPr>
        <w:t xml:space="preserve"> </w:t>
      </w:r>
      <w:r>
        <w:rPr>
          <w:rFonts w:eastAsia="Times New Roman" w:cs="Arial" w:asciiTheme="minorHAnsi" w:hAnsiTheme="minorHAnsi"/>
          <w:smallCaps/>
          <w:sz w:val="22"/>
          <w:szCs w:val="22"/>
          <w:lang w:val="en"/>
        </w:rPr>
        <w:t xml:space="preserve">France</w:t>
      </w:r>
      <w:r>
        <w:rPr>
          <w:rFonts w:eastAsia="Times New Roman" w:cs="Arial" w:asciiTheme="minorHAnsi" w:hAnsiTheme="minorHAnsi"/>
          <w:sz w:val="22"/>
          <w:szCs w:val="22"/>
          <w:lang w:val="en"/>
        </w:rPr>
        <w:t xml:space="preserve">, 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provide evidence of ownership or rights to use all the listed pre-existing rights and rights of third parties, except for the rights owned by </w:t>
      </w:r>
      <w:r>
        <w:rPr>
          <w:rFonts w:eastAsia="Times New Roman" w:cs="Arial" w:asciiTheme="minorHAnsi" w:hAnsiTheme="minorHAnsi"/>
          <w:smallCaps/>
          <w:sz w:val="22"/>
          <w:szCs w:val="22"/>
          <w:lang w:val="en"/>
        </w:rPr>
        <w:t xml:space="preserve">Expertise France</w:t>
      </w:r>
      <w:r>
        <w:rPr>
          <w:rFonts w:eastAsia="Times New Roman" w:cs="Arial" w:asciiTheme="minorHAnsi" w:hAnsiTheme="minorHAnsi"/>
          <w:sz w:val="22"/>
          <w:szCs w:val="22"/>
          <w:lang w:val="en"/>
        </w:rPr>
        <w:t xml:space="preserve">.</w:t>
      </w:r>
      <w:r>
        <w:rPr>
          <w:rFonts w:eastAsia="Times New Roman" w:cs="Arial" w:asciiTheme="minorHAnsi" w:hAnsiTheme="minorHAnsi"/>
          <w:sz w:val="22"/>
          <w:szCs w:val="22"/>
          <w:lang w:val="en-GB"/>
        </w:rPr>
      </w:r>
    </w:p>
    <w:p>
      <w:pPr>
        <w:pStyle w:val="1052"/>
        <w:pBdr/>
        <w:spacing w:after="60" w:before="120"/>
        <w:ind/>
        <w:jc w:val="both"/>
        <w:rPr>
          <w:rFonts w:asciiTheme="minorHAnsi" w:hAnsiTheme="minorHAnsi"/>
          <w:sz w:val="22"/>
          <w:szCs w:val="22"/>
          <w:lang w:val="en-GB"/>
        </w:rPr>
      </w:pPr>
      <w:r/>
      <w:bookmarkStart w:id="72" w:name="_Toc216881487"/>
      <w:r>
        <w:rPr>
          <w:rFonts w:asciiTheme="minorHAnsi" w:hAnsiTheme="minorHAnsi"/>
          <w:sz w:val="22"/>
          <w:szCs w:val="22"/>
          <w:lang w:val="en"/>
        </w:rPr>
        <w:t xml:space="preserve">Image rights</w:t>
      </w:r>
      <w:bookmarkEnd w:id="72"/>
      <w:r>
        <w:rPr>
          <w:rFonts w:asciiTheme="minorHAnsi" w:hAnsiTheme="minorHAnsi"/>
          <w:sz w:val="22"/>
          <w:szCs w:val="22"/>
          <w:lang w:val="en"/>
        </w:rPr>
        <w:t xml:space="preserve"> </w:t>
      </w:r>
      <w:r>
        <w:rPr>
          <w:rFonts w:asciiTheme="minorHAnsi" w:hAnsiTheme="minorHAnsi"/>
          <w:sz w:val="22"/>
          <w:szCs w:val="22"/>
          <w:lang w:val="en-GB"/>
        </w:rPr>
      </w:r>
    </w:p>
    <w:p>
      <w:pPr>
        <w:pBdr/>
        <w:spacing w:line="240" w:lineRule="auto"/>
        <w:ind w:left="567"/>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If natural, recognisable persons appear in a result or their voice is recorded, on request from </w:t>
      </w:r>
      <w:r>
        <w:rPr>
          <w:rFonts w:eastAsia="Times New Roman" w:cs="Arial" w:asciiTheme="minorHAnsi" w:hAnsiTheme="minorHAnsi"/>
          <w:smallCaps/>
          <w:sz w:val="22"/>
          <w:szCs w:val="22"/>
          <w:lang w:val="en"/>
        </w:rPr>
        <w:t xml:space="preserve">Expertise France </w:t>
      </w:r>
      <w:r>
        <w:rPr>
          <w:rFonts w:eastAsia="Times New Roman" w:cs="Arial" w:asciiTheme="minorHAnsi" w:hAnsiTheme="minorHAnsi"/>
          <w:sz w:val="22"/>
          <w:szCs w:val="22"/>
          <w:lang w:val="en"/>
        </w:rPr>
        <w:t xml:space="preserve">the </w:t>
      </w:r>
      <w:r>
        <w:rPr>
          <w:rFonts w:eastAsia="Times New Roman" w:cs="Arial" w:asciiTheme="minorHAnsi" w:hAnsiTheme="minorHAnsi"/>
          <w:smallCaps/>
          <w:sz w:val="22"/>
          <w:szCs w:val="22"/>
          <w:lang w:val="en"/>
        </w:rPr>
        <w:t xml:space="preserve">Contractor</w:t>
      </w:r>
      <w:r>
        <w:rPr>
          <w:rFonts w:eastAsia="Times New Roman" w:cs="Arial" w:asciiTheme="minorHAnsi" w:hAnsiTheme="minorHAnsi"/>
          <w:sz w:val="22"/>
          <w:szCs w:val="22"/>
          <w:lang w:val="en"/>
        </w:rPr>
        <w:t xml:space="preserve"> shall submit a declaration in which such persons (or of the persons exercising parental autho</w:t>
      </w:r>
      <w:r>
        <w:rPr>
          <w:rFonts w:eastAsia="Times New Roman" w:cs="Arial" w:asciiTheme="minorHAnsi" w:hAnsiTheme="minorHAnsi"/>
          <w:sz w:val="22"/>
          <w:szCs w:val="22"/>
          <w:lang w:val="en"/>
        </w:rPr>
        <w:t xml:space="preserve">rity in case of minors) give their permission for the described use of their image or voice. This does not apply to persons whose permission is not required in line with the law of the country where photographs were taken, films shot or audio records made.</w:t>
      </w:r>
      <w:r>
        <w:rPr>
          <w:rFonts w:eastAsia="Times New Roman" w:cs="Arial" w:asciiTheme="minorHAnsi" w:hAnsiTheme="minorHAnsi"/>
          <w:sz w:val="22"/>
          <w:szCs w:val="22"/>
          <w:lang w:val="en"/>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73" w:name="_Toc216881488"/>
      <w:r/>
      <w:bookmarkEnd w:id="67"/>
      <w:r>
        <w:rPr>
          <w:rFonts w:asciiTheme="minorHAnsi" w:hAnsiTheme="minorHAnsi"/>
          <w:b/>
          <w:bCs/>
          <w:caps/>
          <w:sz w:val="24"/>
          <w:u w:val="single"/>
          <w:lang w:val="en"/>
        </w:rPr>
        <w:t xml:space="preserve">Termination of the contract</w:t>
      </w:r>
      <w:bookmarkEnd w:id="73"/>
      <w:r/>
      <w:r>
        <w:rPr>
          <w:rFonts w:asciiTheme="minorHAnsi" w:hAnsiTheme="minorHAnsi"/>
          <w:b/>
          <w:caps/>
          <w:sz w:val="24"/>
          <w:u w:val="single"/>
        </w:rPr>
      </w:r>
    </w:p>
    <w:p>
      <w:pPr>
        <w:pStyle w:val="1052"/>
        <w:pBdr/>
        <w:spacing w:after="60" w:before="120"/>
        <w:ind/>
        <w:jc w:val="both"/>
        <w:rPr>
          <w:rFonts w:asciiTheme="minorHAnsi" w:hAnsiTheme="minorHAnsi" w:cstheme="minorHAnsi"/>
          <w:sz w:val="22"/>
          <w:szCs w:val="22"/>
        </w:rPr>
      </w:pPr>
      <w:r/>
      <w:bookmarkStart w:id="74" w:name="_Toc216881489"/>
      <w:r>
        <w:rPr>
          <w:rFonts w:asciiTheme="minorHAnsi" w:hAnsiTheme="minorHAnsi" w:cstheme="minorHAnsi"/>
          <w:sz w:val="22"/>
          <w:szCs w:val="22"/>
          <w:lang w:val="en"/>
        </w:rPr>
        <w:t xml:space="preserve">General terms of performance</w:t>
      </w:r>
      <w:bookmarkEnd w:id="74"/>
      <w:r/>
      <w:r>
        <w:rPr>
          <w:rFonts w:asciiTheme="minorHAnsi" w:hAnsiTheme="minorHAnsi" w:cstheme="minorHAnsi"/>
          <w:sz w:val="22"/>
          <w:szCs w:val="22"/>
        </w:rPr>
      </w:r>
    </w:p>
    <w:p>
      <w:pPr>
        <w:pBd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 is subject to the termination clauses as defined in Articles 29 to 36 of the CCAG.</w:t>
      </w:r>
      <w:r>
        <w:rPr>
          <w:rFonts w:asciiTheme="minorHAnsi" w:hAnsiTheme="minorHAnsi" w:cstheme="minorHAnsi"/>
          <w:sz w:val="22"/>
          <w:szCs w:val="22"/>
          <w:lang w:val="en"/>
        </w:rPr>
      </w:r>
    </w:p>
    <w:p>
      <w:pPr>
        <w:pBd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 way of derogation from Article 42 of the CCAG FCS, termination for reasons of general interest is not applicable to this contract. However, the parties agree on the possibility of terminating the contract by mutual consent.</w:t>
      </w:r>
      <w:r>
        <w:rPr>
          <w:rFonts w:asciiTheme="minorHAnsi" w:hAnsiTheme="minorHAnsi" w:cstheme="minorHAnsi"/>
          <w:sz w:val="22"/>
          <w:szCs w:val="22"/>
          <w:lang w:val="en"/>
        </w:rPr>
      </w:r>
    </w:p>
    <w:p>
      <w:pPr>
        <w:pStyle w:val="1243"/>
        <w:widowControl w:val="false"/>
        <w:pBdr/>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 xml:space="preserve">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 xml:space="preserve">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 xml:space="preserve">Contract</w:t>
      </w:r>
      <w:r>
        <w:rPr>
          <w:rFonts w:asciiTheme="minorHAnsi" w:hAnsiTheme="minorHAnsi" w:cstheme="minorHAnsi"/>
          <w:szCs w:val="22"/>
          <w:lang w:val="en"/>
        </w:rPr>
        <w:t xml:space="preserve">.</w:t>
      </w:r>
      <w:r>
        <w:rPr>
          <w:rFonts w:asciiTheme="minorHAnsi" w:hAnsiTheme="minorHAnsi" w:cstheme="minorHAnsi"/>
          <w:szCs w:val="22"/>
          <w:lang w:val="en-GB"/>
        </w:rPr>
      </w:r>
    </w:p>
    <w:p>
      <w:pPr>
        <w:pStyle w:val="1052"/>
        <w:pBdr/>
        <w:spacing w:after="60" w:before="120"/>
        <w:ind/>
        <w:jc w:val="both"/>
        <w:rPr>
          <w:rFonts w:asciiTheme="minorHAnsi" w:hAnsiTheme="minorHAnsi" w:cstheme="minorHAnsi"/>
          <w:sz w:val="22"/>
          <w:szCs w:val="22"/>
          <w:lang w:val="en-GB"/>
        </w:rPr>
      </w:pPr>
      <w:r/>
      <w:bookmarkStart w:id="75" w:name="_Toc216881490"/>
      <w:r>
        <w:rPr>
          <w:rFonts w:asciiTheme="minorHAnsi" w:hAnsiTheme="minorHAnsi" w:cstheme="minorHAnsi"/>
          <w:sz w:val="22"/>
          <w:szCs w:val="22"/>
          <w:lang w:val="en"/>
        </w:rPr>
        <w:t xml:space="preserve">Termination of the Contract due to the non-availability of a designated expert</w:t>
      </w:r>
      <w:bookmarkEnd w:id="75"/>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w:t>
      </w:r>
      <w:r>
        <w:rPr>
          <w:rFonts w:asciiTheme="minorHAnsi" w:hAnsiTheme="minorHAnsi" w:cstheme="minorHAnsi"/>
          <w:sz w:val="22"/>
          <w:szCs w:val="22"/>
          <w:lang w:val="en"/>
        </w:rPr>
        <w:t xml:space="preserve">cumulative duration of 4</w:t>
      </w:r>
      <w:bookmarkStart w:id="76" w:name="_GoBack"/>
      <w:r/>
      <w:bookmarkEnd w:id="76"/>
      <w:r>
        <w:rPr>
          <w:rFonts w:asciiTheme="minorHAnsi" w:hAnsiTheme="minorHAnsi" w:cstheme="minorHAnsi"/>
          <w:sz w:val="22"/>
          <w:szCs w:val="22"/>
          <w:lang w:val="en"/>
        </w:rPr>
        <w:t xml:space="preserve">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 xml:space="preserve">Contract</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Bd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w:t>
      </w:r>
      <w:r>
        <w:rPr>
          <w:rFonts w:asciiTheme="minorHAnsi" w:hAnsiTheme="minorHAnsi" w:cstheme="minorHAnsi"/>
          <w:sz w:val="22"/>
          <w:szCs w:val="22"/>
          <w:lang w:val="en-GB"/>
        </w:rPr>
      </w:r>
    </w:p>
    <w:p>
      <w:pPr>
        <w:pStyle w:val="1052"/>
        <w:pBdr/>
        <w:spacing w:after="60" w:before="120"/>
        <w:ind/>
        <w:jc w:val="both"/>
        <w:rPr>
          <w:rFonts w:asciiTheme="minorHAnsi" w:hAnsiTheme="minorHAnsi" w:cstheme="minorHAnsi"/>
          <w:sz w:val="22"/>
          <w:szCs w:val="22"/>
          <w:lang w:val="en-GB"/>
        </w:rPr>
      </w:pPr>
      <w:r/>
      <w:bookmarkStart w:id="77" w:name="_Toc216881491"/>
      <w:r>
        <w:rPr>
          <w:rFonts w:asciiTheme="minorHAnsi" w:hAnsiTheme="minorHAnsi" w:cstheme="minorHAnsi"/>
          <w:sz w:val="22"/>
          <w:szCs w:val="22"/>
          <w:lang w:val="en"/>
        </w:rPr>
        <w:t xml:space="preserve">Procedure</w:t>
      </w:r>
      <w:bookmarkEnd w:id="77"/>
      <w:r/>
      <w:r>
        <w:rPr>
          <w:rFonts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 xml:space="preserve">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 xml:space="preserve">Contractor</w:t>
      </w:r>
      <w:r>
        <w:rPr>
          <w:rFonts w:asciiTheme="minorHAnsi" w:hAnsiTheme="minorHAnsi" w:cstheme="minorHAnsi"/>
          <w:sz w:val="22"/>
          <w:szCs w:val="22"/>
          <w:lang w:val="en"/>
        </w:rPr>
        <w:t xml:space="preserve"> by registered letter with acknowledgement of receipt. It shall state the effective date of termination. </w:t>
      </w:r>
      <w:r>
        <w:rPr>
          <w:rFonts w:eastAsia="Times New Roman" w:asciiTheme="minorHAnsi" w:hAnsiTheme="minorHAnsi" w:cstheme="minorHAnsi"/>
          <w:sz w:val="22"/>
          <w:szCs w:val="22"/>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lang w:val="en-GB"/>
        </w:rPr>
      </w:pPr>
      <w:r/>
      <w:bookmarkStart w:id="78" w:name="_Toc216881492"/>
      <w:r>
        <w:rPr>
          <w:rFonts w:asciiTheme="minorHAnsi" w:hAnsiTheme="minorHAnsi"/>
          <w:b/>
          <w:bCs/>
          <w:caps/>
          <w:sz w:val="24"/>
          <w:u w:val="single"/>
          <w:lang w:val="en"/>
        </w:rPr>
        <w:t xml:space="preserve">safety and security measures and responsabilities</w:t>
      </w:r>
      <w:bookmarkEnd w:id="78"/>
      <w:r/>
      <w:r>
        <w:rPr>
          <w:rFonts w:asciiTheme="minorHAnsi" w:hAnsiTheme="minorHAnsi"/>
          <w:b/>
          <w:caps/>
          <w:sz w:val="24"/>
          <w:u w:val="single"/>
          <w:lang w:val="en-GB"/>
        </w:rPr>
      </w:r>
    </w:p>
    <w:p>
      <w:pPr>
        <w:pBdr/>
        <w:spacing w:before="120" w:line="240" w:lineRule="auto"/>
        <w:ind w:left="561"/>
        <w:jc w:val="both"/>
        <w:rPr>
          <w:rFonts w:asciiTheme="minorHAnsi" w:hAnsiTheme="minorHAnsi" w:cstheme="minorHAnsi"/>
          <w:sz w:val="22"/>
          <w:szCs w:val="22"/>
          <w:lang w:val="en"/>
        </w:rPr>
      </w:pPr>
      <w:r/>
      <w:bookmarkStart w:id="79" w:name="_Toc536531735"/>
      <w:r>
        <w:rPr>
          <w:rFonts w:ascii="Calibri" w:hAnsi="Calibri" w:eastAsia="Times New Roman"/>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respect, takes all necessary measures. He undertakes to ensure that all of his employees and subcontractors comply with the safety instructions that he issues.</w:t>
      </w:r>
      <w:r>
        <w:rPr>
          <w:rFonts w:asciiTheme="minorHAnsi" w:hAnsiTheme="minorHAnsi" w:cstheme="minorHAnsi"/>
          <w:sz w:val="22"/>
          <w:szCs w:val="22"/>
          <w:lang w:val="en"/>
        </w:rPr>
      </w:r>
    </w:p>
    <w:p>
      <w:pPr>
        <w:pBdr/>
        <w:spacing w:before="120" w:line="240" w:lineRule="auto"/>
        <w:ind w:left="561"/>
        <w:jc w:val="both"/>
        <w:rPr>
          <w:rFonts w:ascii="Calibri" w:hAnsi="Calibri" w:eastAsia="Times New Roman"/>
          <w:sz w:val="22"/>
          <w:lang w:val="en-GB"/>
        </w:rPr>
      </w:pPr>
      <w:r>
        <w:rPr>
          <w:rFonts w:ascii="Calibri" w:hAnsi="Calibri" w:eastAsia="Times New Roman"/>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w:t>
      </w:r>
      <w:r>
        <w:rPr>
          <w:rFonts w:ascii="Calibri" w:hAnsi="Calibri" w:eastAsia="Times New Roman"/>
          <w:sz w:val="22"/>
          <w:lang w:val="en-GB"/>
        </w:rPr>
        <w:t xml:space="preserve">cannot be held responsible in any way whatsoever.</w:t>
      </w:r>
      <w:r>
        <w:rPr>
          <w:rFonts w:ascii="Calibri" w:hAnsi="Calibri" w:eastAsia="Times New Roman"/>
          <w:sz w:val="22"/>
          <w:lang w:val="en-GB"/>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lang w:val="en-GB"/>
        </w:rPr>
      </w:pPr>
      <w:r/>
      <w:bookmarkStart w:id="80" w:name="_Toc126923320"/>
      <w:r/>
      <w:bookmarkStart w:id="81" w:name="_Toc127876026"/>
      <w:r/>
      <w:bookmarkStart w:id="82" w:name="_Toc140836356"/>
      <w:r/>
      <w:bookmarkStart w:id="83" w:name="_Toc216881493"/>
      <w:r/>
      <w:bookmarkEnd w:id="79"/>
      <w:r/>
      <w:bookmarkEnd w:id="80"/>
      <w:r/>
      <w:bookmarkEnd w:id="81"/>
      <w:r/>
      <w:bookmarkEnd w:id="82"/>
      <w:r>
        <w:rPr>
          <w:rFonts w:asciiTheme="minorHAnsi" w:hAnsiTheme="minorHAnsi"/>
          <w:b/>
          <w:bCs/>
          <w:caps/>
          <w:sz w:val="24"/>
          <w:u w:val="single"/>
          <w:lang w:val="en"/>
        </w:rPr>
        <w:t xml:space="preserve">ethics</w:t>
      </w:r>
      <w:bookmarkEnd w:id="83"/>
      <w:r/>
      <w:r>
        <w:rPr>
          <w:rFonts w:asciiTheme="minorHAnsi" w:hAnsiTheme="minorHAnsi"/>
          <w:b/>
          <w:caps/>
          <w:sz w:val="24"/>
          <w:u w:val="single"/>
          <w:lang w:val="en-GB"/>
        </w:rPr>
      </w:r>
    </w:p>
    <w:p>
      <w:pPr>
        <w:pBdr/>
        <w:spacing w:before="120" w:line="240" w:lineRule="auto"/>
        <w:ind w:left="561"/>
        <w:jc w:val="both"/>
        <w:rPr>
          <w:rFonts w:ascii="Calibri" w:hAnsi="Calibri" w:eastAsia="Times New Roman"/>
          <w:sz w:val="22"/>
          <w:lang w:val="en-GB"/>
        </w:rPr>
      </w:pPr>
      <w:r>
        <w:rPr>
          <w:rFonts w:ascii="Calibri" w:hAnsi="Calibri"/>
          <w:sz w:val="22"/>
          <w:lang w:val="en"/>
        </w:rPr>
        <w:t xml:space="preserve">The </w:t>
      </w:r>
      <w:r>
        <w:rPr>
          <w:rFonts w:asciiTheme="minorHAnsi" w:hAnsiTheme="minorHAnsi" w:cstheme="minorHAnsi"/>
          <w:smallCaps/>
          <w:sz w:val="22"/>
          <w:lang w:val="en"/>
        </w:rPr>
        <w:t xml:space="preserve">Contractor</w:t>
      </w:r>
      <w:r>
        <w:rPr>
          <w:rFonts w:ascii="Calibri" w:hAnsi="Calibri"/>
          <w:sz w:val="22"/>
          <w:lang w:val="en"/>
        </w:rPr>
        <w:t xml:space="preserve"> also undertakes to take note of the </w:t>
      </w:r>
      <w:hyperlink r:id="rId25" w:tooltip="https://www.expertisefrance.fr/documents/20182/426622/Expertise+France+%E2%80%93+Code+of+conduct/82cf6060-4768-4b25-8817-ccba1d86e568" w:history="1">
        <w:r>
          <w:rPr>
            <w:rStyle w:val="1239"/>
            <w:rFonts w:asciiTheme="minorHAnsi" w:hAnsiTheme="minorHAnsi" w:cstheme="minorHAnsi"/>
            <w:smallCaps/>
            <w:szCs w:val="22"/>
            <w:lang w:val="en-GB"/>
          </w:rPr>
          <w:t xml:space="preserve"> E</w:t>
        </w:r>
        <w:r>
          <w:rPr>
            <w:rStyle w:val="1239"/>
            <w:rFonts w:asciiTheme="minorHAnsi" w:hAnsiTheme="minorHAnsi" w:cstheme="minorHAnsi"/>
            <w:smallCaps/>
            <w:sz w:val="22"/>
            <w:szCs w:val="22"/>
            <w:lang w:val="en-GB"/>
          </w:rPr>
          <w:t xml:space="preserve">xpertise </w:t>
        </w:r>
        <w:r>
          <w:rPr>
            <w:rStyle w:val="1239"/>
            <w:rFonts w:asciiTheme="minorHAnsi" w:hAnsiTheme="minorHAnsi" w:cstheme="minorHAnsi"/>
            <w:smallCaps/>
            <w:szCs w:val="22"/>
            <w:lang w:val="en-GB"/>
          </w:rPr>
          <w:t xml:space="preserve">F</w:t>
        </w:r>
        <w:r>
          <w:rPr>
            <w:rStyle w:val="1239"/>
            <w:rFonts w:asciiTheme="minorHAnsi" w:hAnsiTheme="minorHAnsi" w:cstheme="minorHAnsi"/>
            <w:smallCaps/>
            <w:sz w:val="22"/>
            <w:szCs w:val="22"/>
            <w:lang w:val="en-GB"/>
          </w:rPr>
          <w:t xml:space="preserve">rance</w:t>
        </w:r>
        <w:r>
          <w:rPr>
            <w:rStyle w:val="1239"/>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
        </w:rPr>
        <w:t xml:space="preserve"> code of conduct is available on the agency’s website: </w:t>
      </w:r>
      <w:hyperlink r:id="rId26" w:tooltip="http://www.expertisefrance.fr" w:history="1">
        <w:r>
          <w:rPr>
            <w:rStyle w:val="1239"/>
            <w:rFonts w:ascii="Calibri" w:hAnsi="Calibri"/>
            <w:sz w:val="22"/>
            <w:lang w:val="en"/>
          </w:rPr>
          <w:t xml:space="preserve">www.expertisefrance.fr</w:t>
        </w:r>
      </w:hyperlink>
      <w:r>
        <w:rPr>
          <w:rFonts w:ascii="Calibri" w:hAnsi="Calibri"/>
          <w:sz w:val="22"/>
          <w:lang w:val="en"/>
        </w:rPr>
        <w:t xml:space="preserve">).</w:t>
      </w:r>
      <w:r>
        <w:rPr>
          <w:rFonts w:ascii="Calibri" w:hAnsi="Calibri" w:eastAsia="Times New Roman"/>
          <w:sz w:val="22"/>
          <w:lang w:val="en-GB"/>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GB"/>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84" w:name="_Toc70411566"/>
      <w:r/>
      <w:bookmarkStart w:id="85" w:name="_Toc70411012"/>
      <w:r/>
      <w:bookmarkStart w:id="86" w:name="_Toc70410878"/>
      <w:r/>
      <w:bookmarkStart w:id="87" w:name="_Toc70411565"/>
      <w:r/>
      <w:bookmarkStart w:id="88" w:name="_Toc70411011"/>
      <w:r/>
      <w:bookmarkStart w:id="89" w:name="_Toc70410877"/>
      <w:r/>
      <w:bookmarkStart w:id="90" w:name="_Toc70411564"/>
      <w:r/>
      <w:bookmarkStart w:id="91" w:name="_Toc70411010"/>
      <w:r/>
      <w:bookmarkStart w:id="92" w:name="_Toc70410876"/>
      <w:r/>
      <w:bookmarkStart w:id="93" w:name="_Toc70411560"/>
      <w:r/>
      <w:bookmarkStart w:id="94" w:name="_Toc70411006"/>
      <w:r/>
      <w:bookmarkStart w:id="95" w:name="_Toc70410872"/>
      <w:r/>
      <w:bookmarkStart w:id="96" w:name="_Toc70411559"/>
      <w:r/>
      <w:bookmarkStart w:id="97" w:name="_Toc70411005"/>
      <w:r/>
      <w:bookmarkStart w:id="98" w:name="_Toc70410871"/>
      <w:r/>
      <w:bookmarkStart w:id="99" w:name="_Toc70411556"/>
      <w:r/>
      <w:bookmarkStart w:id="100" w:name="_Toc70411002"/>
      <w:r/>
      <w:bookmarkStart w:id="101" w:name="_Toc70410868"/>
      <w:r/>
      <w:bookmarkStart w:id="102" w:name="_Toc70411555"/>
      <w:r/>
      <w:bookmarkStart w:id="103" w:name="_Toc70411001"/>
      <w:r/>
      <w:bookmarkStart w:id="104" w:name="_Toc70410867"/>
      <w:r/>
      <w:bookmarkStart w:id="105" w:name="_Toc70411554"/>
      <w:r/>
      <w:bookmarkStart w:id="106" w:name="_Toc70411000"/>
      <w:r/>
      <w:bookmarkStart w:id="107" w:name="_Toc70410866"/>
      <w:r/>
      <w:bookmarkStart w:id="108" w:name="_Toc70411551"/>
      <w:r/>
      <w:bookmarkStart w:id="109" w:name="_Toc70410997"/>
      <w:r/>
      <w:bookmarkStart w:id="110" w:name="_Toc70410863"/>
      <w:r/>
      <w:bookmarkStart w:id="111" w:name="_Toc70411550"/>
      <w:r/>
      <w:bookmarkStart w:id="112" w:name="_Toc70410996"/>
      <w:r/>
      <w:bookmarkStart w:id="113" w:name="_Toc70410862"/>
      <w:r/>
      <w:bookmarkStart w:id="114" w:name="_Toc70411549"/>
      <w:r/>
      <w:bookmarkStart w:id="115" w:name="_Toc70410995"/>
      <w:r/>
      <w:bookmarkStart w:id="116" w:name="_Toc70410861"/>
      <w:r/>
      <w:bookmarkStart w:id="117" w:name="_Toc70411548"/>
      <w:r/>
      <w:bookmarkStart w:id="118" w:name="_Toc70410994"/>
      <w:r/>
      <w:bookmarkStart w:id="119" w:name="_Toc70410860"/>
      <w:r/>
      <w:bookmarkStart w:id="120" w:name="_Toc70411547"/>
      <w:r/>
      <w:bookmarkStart w:id="121" w:name="_Toc70410993"/>
      <w:r/>
      <w:bookmarkStart w:id="122" w:name="_Toc70410859"/>
      <w:r/>
      <w:bookmarkStart w:id="123" w:name="_Toc70411546"/>
      <w:r/>
      <w:bookmarkStart w:id="124" w:name="_Toc70410992"/>
      <w:r/>
      <w:bookmarkStart w:id="125" w:name="_Toc70410858"/>
      <w:r/>
      <w:bookmarkStart w:id="126" w:name="_Toc70411545"/>
      <w:r/>
      <w:bookmarkStart w:id="127" w:name="_Toc70410991"/>
      <w:r/>
      <w:bookmarkStart w:id="128" w:name="_Toc70410857"/>
      <w:r/>
      <w:bookmarkStart w:id="129" w:name="_Toc216881494"/>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bookmarkEnd w:id="121"/>
      <w:r/>
      <w:bookmarkEnd w:id="122"/>
      <w:r/>
      <w:bookmarkEnd w:id="123"/>
      <w:r/>
      <w:bookmarkEnd w:id="124"/>
      <w:r/>
      <w:bookmarkEnd w:id="125"/>
      <w:r/>
      <w:bookmarkEnd w:id="126"/>
      <w:r/>
      <w:bookmarkEnd w:id="127"/>
      <w:r/>
      <w:bookmarkEnd w:id="128"/>
      <w:r>
        <w:rPr>
          <w:rFonts w:asciiTheme="minorHAnsi" w:hAnsiTheme="minorHAnsi"/>
          <w:b/>
          <w:bCs/>
          <w:caps/>
          <w:sz w:val="24"/>
          <w:u w:val="single"/>
          <w:lang w:val="en"/>
        </w:rPr>
        <w:t xml:space="preserve">Administration of personal data</w:t>
      </w:r>
      <w:bookmarkEnd w:id="129"/>
      <w:r/>
      <w:r>
        <w:rPr>
          <w:rFonts w:asciiTheme="minorHAnsi" w:hAnsiTheme="minorHAnsi"/>
          <w:b/>
          <w:caps/>
          <w:sz w:val="24"/>
          <w:u w:val="single"/>
        </w:rPr>
      </w:r>
    </w:p>
    <w:p>
      <w:pPr>
        <w:widowControl w:val="false"/>
        <w:pBdr/>
        <w:tabs>
          <w:tab w:val="left" w:leader="none" w:pos="567"/>
        </w:tabs>
        <w:spacing w:before="120" w:line="240" w:lineRule="auto"/>
        <w:ind w:left="567"/>
        <w:jc w:val="both"/>
        <w:rPr>
          <w:rFonts w:eastAsia="Times New Roman" w:cs="Arial" w:asciiTheme="minorHAnsi" w:hAnsiTheme="minorHAnsi"/>
          <w:sz w:val="22"/>
          <w:lang w:val="en-GB"/>
        </w:rPr>
      </w:pPr>
      <w:r>
        <w:rPr>
          <w:rFonts w:eastAsia="Times New Roman" w:cs="Arial" w:asciiTheme="minorHAnsi" w:hAnsiTheme="minorHAnsi"/>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 xml:space="preserve">Contractor</w:t>
      </w:r>
      <w:r>
        <w:rPr>
          <w:rFonts w:eastAsia="Times New Roman" w:cs="Arial" w:asciiTheme="minorHAnsi" w:hAnsiTheme="minorHAnsi"/>
          <w:sz w:val="22"/>
          <w:lang w:val="en"/>
        </w:rPr>
        <w:t xml:space="preserve"> is notified that personal data (notably name, first name and e-mail address) collected under this contract may be processed.</w:t>
      </w:r>
      <w:r>
        <w:rPr>
          <w:rFonts w:eastAsia="Times New Roman" w:cs="Arial" w:asciiTheme="minorHAnsi" w:hAnsiTheme="minorHAnsi"/>
          <w:sz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legal basis under which such processing is performed are set out in c) and e) of Article 6.1 of the GDPR, namely:</w:t>
      </w:r>
      <w:r>
        <w:rPr>
          <w:rFonts w:eastAsia="Times New Roman" w:asciiTheme="minorHAnsi" w:hAnsiTheme="minorHAnsi" w:cstheme="minorHAnsi"/>
          <w:sz w:val="22"/>
          <w:szCs w:val="22"/>
          <w:lang w:val="en-GB"/>
        </w:rPr>
      </w:r>
    </w:p>
    <w:p>
      <w:pPr>
        <w:widowControl w:val="false"/>
        <w:numPr>
          <w:ilvl w:val="0"/>
          <w:numId w:val="16"/>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is bound;</w:t>
      </w:r>
      <w:r>
        <w:rPr>
          <w:rFonts w:eastAsia="Times New Roman" w:asciiTheme="minorHAnsi" w:hAnsiTheme="minorHAnsi" w:cstheme="minorHAnsi"/>
          <w:sz w:val="22"/>
          <w:szCs w:val="22"/>
          <w:lang w:val="en-GB"/>
        </w:rPr>
      </w:r>
    </w:p>
    <w:p>
      <w:pPr>
        <w:widowControl w:val="false"/>
        <w:numPr>
          <w:ilvl w:val="0"/>
          <w:numId w:val="16"/>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The purposes of the processing are as follows: </w:t>
      </w:r>
      <w:r>
        <w:rPr>
          <w:rFonts w:eastAsia="Times New Roman" w:asciiTheme="minorHAnsi" w:hAnsiTheme="minorHAnsi" w:cstheme="minorHAnsi"/>
          <w:sz w:val="22"/>
          <w:szCs w:val="22"/>
          <w:lang w:val="en-GB"/>
        </w:rPr>
      </w:r>
    </w:p>
    <w:p>
      <w:pPr>
        <w:widowControl w:val="false"/>
        <w:numPr>
          <w:ilvl w:val="0"/>
          <w:numId w:val="16"/>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this </w:t>
      </w:r>
      <w:r>
        <w:rPr>
          <w:rFonts w:asciiTheme="minorHAnsi" w:hAnsiTheme="minorHAnsi" w:cstheme="minorHAnsi"/>
          <w:smallCaps/>
          <w:sz w:val="22"/>
          <w:lang w:val="en"/>
        </w:rPr>
        <w:t xml:space="preserve">Contract</w:t>
      </w:r>
      <w:r>
        <w:rPr>
          <w:rFonts w:eastAsia="Times New Roman" w:asciiTheme="minorHAnsi" w:hAnsiTheme="minorHAnsi" w:cstheme="minorHAnsi"/>
          <w:sz w:val="22"/>
          <w:szCs w:val="22"/>
          <w:lang w:val="en"/>
        </w:rPr>
        <w:t xml:space="preserve"> </w:t>
      </w:r>
      <w:r>
        <w:rPr>
          <w:rFonts w:eastAsia="Times New Roman" w:asciiTheme="minorHAnsi" w:hAnsiTheme="minorHAnsi" w:cstheme="minorHAnsi"/>
          <w:sz w:val="22"/>
          <w:szCs w:val="22"/>
          <w:lang w:val="en-GB"/>
        </w:rPr>
      </w:r>
    </w:p>
    <w:p>
      <w:pPr>
        <w:widowControl w:val="false"/>
        <w:numPr>
          <w:ilvl w:val="0"/>
          <w:numId w:val="16"/>
        </w:numPr>
        <w:pBdr/>
        <w:spacing w:line="240" w:lineRule="auto"/>
        <w:ind w:left="1134"/>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Management and monitoring of reports forwarded to donors and other supervisory authorities. </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Recipients or category of recipients of the personal data are exclusively authorised personnel of </w:t>
      </w:r>
      <w:r>
        <w:rPr>
          <w:rFonts w:cs="Arial" w:asciiTheme="minorHAnsi" w:hAnsiTheme="minorHAnsi"/>
          <w:smallCaps/>
          <w:szCs w:val="22"/>
          <w:lang w:val="en-GB"/>
        </w:rPr>
        <w:t xml:space="preserve">Expertise France</w:t>
      </w:r>
      <w:r>
        <w:rPr>
          <w:rFonts w:eastAsia="Times New Roman" w:asciiTheme="minorHAnsi" w:hAnsiTheme="minorHAnsi" w:cstheme="minorHAnsi"/>
          <w:sz w:val="22"/>
          <w:szCs w:val="22"/>
          <w:lang w:val="en"/>
        </w:rPr>
        <w:t xml:space="preserve">, ministries and state operators and donors responsible for awarding and executing this contract, including any service providers assisting them with their activities.</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Retention period: the data will be held throughout the execution of the contract, including the DUA (duration of administrative usefulness) applicable to the contract.</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Under Articles 15 to 21 of the GDPR, persons whose personal data is collected enjoy a right of </w:t>
      </w:r>
      <w:r>
        <w:rPr>
          <w:rFonts w:eastAsia="Times New Roman" w:asciiTheme="minorHAnsi" w:hAnsiTheme="minorHAnsi" w:cstheme="minorHAnsi"/>
          <w:sz w:val="22"/>
          <w:szCs w:val="22"/>
          <w:lang w:val="en"/>
        </w:rPr>
        <w:t xml:space="preserve">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eastAsia="Times New Roman" w:asciiTheme="minorHAnsi" w:hAnsiTheme="minorHAnsi" w:cstheme="minorHAnsi"/>
          <w:sz w:val="22"/>
          <w:szCs w:val="22"/>
          <w:lang w:val="en"/>
        </w:rPr>
        <w:t xml:space="preserve"> (</w:t>
      </w:r>
      <w:hyperlink r:id="rId27" w:tooltip="mailto:informatique.libertes@expertisefrance.fr" w:history="1">
        <w:r>
          <w:rPr>
            <w:rFonts w:eastAsia="Times New Roman" w:asciiTheme="minorHAnsi" w:hAnsiTheme="minorHAnsi" w:cstheme="minorHAnsi"/>
            <w:sz w:val="22"/>
            <w:szCs w:val="22"/>
            <w:lang w:val="en"/>
          </w:rPr>
          <w:t xml:space="preserve">informatique.libertes@expertisefrance.fr</w:t>
        </w:r>
      </w:hyperlink>
      <w:r>
        <w:rPr>
          <w:rFonts w:eastAsia="Times New Roman" w:asciiTheme="minorHAnsi" w:hAnsiTheme="minorHAnsi" w:cstheme="minorHAnsi"/>
          <w:sz w:val="22"/>
          <w:szCs w:val="22"/>
          <w:lang w:val="en"/>
        </w:rPr>
        <w:t xml:space="preserve">).</w:t>
      </w:r>
      <w:r>
        <w:rPr>
          <w:rFonts w:eastAsia="Times New Roman" w:asciiTheme="minorHAnsi" w:hAnsiTheme="minorHAnsi" w:cstheme="minorHAnsi"/>
          <w:sz w:val="22"/>
          <w:szCs w:val="22"/>
          <w:lang w:val="en-GB"/>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Persons whose personal data is collected under this procedure may submit a complaint to CNIL.)</w:t>
      </w:r>
      <w:r>
        <w:rPr>
          <w:rFonts w:eastAsia="Times New Roman" w:asciiTheme="minorHAnsi" w:hAnsiTheme="minorHAnsi" w:cstheme="minorHAnsi"/>
          <w:sz w:val="22"/>
          <w:szCs w:val="22"/>
          <w:lang w:val="en-GB"/>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130" w:name="_Toc216881495"/>
      <w:r>
        <w:rPr>
          <w:rFonts w:asciiTheme="minorHAnsi" w:hAnsiTheme="minorHAnsi"/>
          <w:b/>
          <w:bCs/>
          <w:caps/>
          <w:sz w:val="24"/>
          <w:u w:val="single"/>
          <w:lang w:val="en"/>
        </w:rPr>
        <w:t xml:space="preserve">Dispute resolution - applicable law</w:t>
      </w:r>
      <w:bookmarkEnd w:id="130"/>
      <w:r/>
      <w:r>
        <w:rPr>
          <w:rFonts w:asciiTheme="minorHAnsi" w:hAnsiTheme="minorHAnsi"/>
          <w:b/>
          <w:caps/>
          <w:sz w:val="24"/>
          <w:u w:val="single"/>
        </w:rPr>
      </w:r>
    </w:p>
    <w:p>
      <w:pPr>
        <w:pStyle w:val="1270"/>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 xml:space="preserve">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 xml:space="preserve">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 xml:space="preserve">Party</w:t>
      </w:r>
      <w:r>
        <w:rPr>
          <w:rFonts w:asciiTheme="minorHAnsi" w:hAnsiTheme="minorHAnsi"/>
          <w:sz w:val="22"/>
          <w:szCs w:val="22"/>
          <w:lang w:val="en-US"/>
        </w:rPr>
        <w:t xml:space="preserve">, shall be submitted to the competent court.</w:t>
      </w:r>
      <w:r>
        <w:rPr>
          <w:rFonts w:asciiTheme="minorHAnsi" w:hAnsiTheme="minorHAnsi"/>
          <w:sz w:val="22"/>
          <w:szCs w:val="22"/>
          <w:lang w:val="en-US"/>
        </w:rPr>
      </w:r>
    </w:p>
    <w:p>
      <w:pPr>
        <w:pStyle w:val="1270"/>
        <w:pBdr/>
        <w:spacing w:line="240" w:lineRule="auto"/>
        <w:ind/>
        <w:jc w:val="both"/>
        <w:rPr>
          <w:rFonts w:asciiTheme="minorHAnsi" w:hAnsiTheme="minorHAnsi"/>
          <w:sz w:val="22"/>
          <w:szCs w:val="22"/>
          <w:lang w:val="en-US"/>
        </w:rPr>
      </w:pPr>
      <w:r>
        <w:rPr>
          <w:rFonts w:asciiTheme="minorHAnsi" w:hAnsiTheme="minorHAnsi"/>
          <w:sz w:val="22"/>
          <w:szCs w:val="22"/>
          <w:lang w:val="en-US"/>
        </w:rPr>
      </w:r>
      <w:r>
        <w:rPr>
          <w:rFonts w:asciiTheme="minorHAnsi" w:hAnsiTheme="minorHAnsi"/>
          <w:sz w:val="22"/>
          <w:szCs w:val="22"/>
          <w:lang w:val="en-US"/>
        </w:rPr>
      </w:r>
    </w:p>
    <w:p>
      <w:pPr>
        <w:pStyle w:val="1243"/>
        <w:widowControl w:val="false"/>
        <w:pBdr/>
        <w:spacing w:before="120"/>
        <w:ind w:left="567"/>
        <w:rPr>
          <w:rFonts w:cs="Arial" w:asciiTheme="minorHAnsi" w:hAnsiTheme="minorHAnsi"/>
          <w:lang w:val="en"/>
        </w:rPr>
      </w:pPr>
      <w:r>
        <w:rPr>
          <w:rFonts w:asciiTheme="minorHAnsi" w:hAnsiTheme="minorHAnsi"/>
          <w:szCs w:val="22"/>
          <w:lang w:val="en-US"/>
        </w:rPr>
        <w:t xml:space="preserve">The applicable law for this </w:t>
      </w:r>
      <w:r>
        <w:rPr>
          <w:rFonts w:asciiTheme="minorHAnsi" w:hAnsiTheme="minorHAnsi"/>
          <w:smallCaps/>
          <w:szCs w:val="22"/>
          <w:lang w:val="en-US"/>
        </w:rPr>
        <w:t xml:space="preserve">Contract</w:t>
      </w:r>
      <w:r>
        <w:rPr>
          <w:rFonts w:asciiTheme="minorHAnsi" w:hAnsiTheme="minorHAnsi"/>
          <w:szCs w:val="22"/>
          <w:lang w:val="en-US"/>
        </w:rPr>
        <w:t xml:space="preserve"> is French law, to the exclusion of any other law</w:t>
      </w:r>
      <w:r>
        <w:rPr>
          <w:rFonts w:cs="Arial" w:asciiTheme="minorHAnsi" w:hAnsiTheme="minorHAnsi"/>
          <w:lang w:val="en"/>
        </w:rPr>
        <w:t xml:space="preserve">.</w:t>
      </w:r>
      <w:r>
        <w:rPr>
          <w:rFonts w:cs="Arial" w:asciiTheme="minorHAnsi" w:hAnsiTheme="minorHAnsi"/>
          <w:lang w:val="en"/>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131" w:name="_Toc126923324"/>
      <w:r/>
      <w:bookmarkStart w:id="132" w:name="_Toc127876030"/>
      <w:r/>
      <w:bookmarkStart w:id="133" w:name="_Toc140836360"/>
      <w:r/>
      <w:bookmarkStart w:id="134" w:name="_Toc216881496"/>
      <w:r/>
      <w:bookmarkEnd w:id="131"/>
      <w:r/>
      <w:bookmarkEnd w:id="132"/>
      <w:r/>
      <w:bookmarkEnd w:id="133"/>
      <w:r>
        <w:rPr>
          <w:rFonts w:asciiTheme="minorHAnsi" w:hAnsiTheme="minorHAnsi"/>
          <w:b/>
          <w:bCs/>
          <w:caps/>
          <w:sz w:val="24"/>
          <w:u w:val="single"/>
          <w:lang w:val="en"/>
        </w:rPr>
        <w:t xml:space="preserve">Derogation from the CCAG</w:t>
      </w:r>
      <w:bookmarkEnd w:id="134"/>
      <w:r/>
      <w:r>
        <w:rPr>
          <w:rFonts w:asciiTheme="minorHAnsi" w:hAnsiTheme="minorHAnsi"/>
          <w:b/>
          <w:caps/>
          <w:sz w:val="24"/>
          <w:u w:val="single"/>
        </w:rPr>
      </w:r>
    </w:p>
    <w:p>
      <w:pPr>
        <w:pStyle w:val="1278"/>
        <w:pBdr/>
        <w:spacing w:after="0" w:before="120" w:line="240" w:lineRule="auto"/>
        <w:ind w:left="567"/>
        <w:jc w:val="both"/>
        <w:rPr>
          <w:rFonts w:eastAsia="Times New Roman" w:cs="Arial" w:asciiTheme="minorHAnsi" w:hAnsiTheme="minorHAnsi"/>
          <w:sz w:val="22"/>
          <w:lang w:val="en"/>
        </w:rPr>
      </w:pPr>
      <w:r>
        <w:rPr>
          <w:rFonts w:eastAsia="Times New Roman" w:cs="Arial" w:asciiTheme="minorHAnsi" w:hAnsiTheme="minorHAnsi"/>
          <w:sz w:val="22"/>
          <w:lang w:val="en"/>
        </w:rPr>
        <w:t xml:space="preserve">The following articles of this document derogate from the CCAG-FCS:</w:t>
      </w:r>
      <w:r>
        <w:rPr>
          <w:rFonts w:eastAsia="Times New Roman" w:cs="Arial" w:asciiTheme="minorHAnsi" w:hAnsiTheme="minorHAnsi"/>
          <w:sz w:val="22"/>
          <w:lang w:val="en"/>
        </w:rPr>
      </w:r>
    </w:p>
    <w:p>
      <w:pPr>
        <w:pStyle w:val="1270"/>
        <w:widowControl w:val="false"/>
        <w:numPr>
          <w:ilvl w:val="0"/>
          <w:numId w:val="22"/>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5 derogates from article 28 and 15 of the CCAG ;</w:t>
      </w:r>
      <w:r>
        <w:rPr>
          <w:rFonts w:eastAsia="Times New Roman" w:asciiTheme="minorHAnsi" w:hAnsiTheme="minorHAnsi" w:cstheme="minorHAnsi"/>
          <w:sz w:val="22"/>
          <w:szCs w:val="22"/>
          <w:lang w:val="en-GB"/>
        </w:rPr>
      </w:r>
    </w:p>
    <w:p>
      <w:pPr>
        <w:pStyle w:val="1270"/>
        <w:widowControl w:val="false"/>
        <w:numPr>
          <w:ilvl w:val="0"/>
          <w:numId w:val="22"/>
        </w:numPr>
        <w:pBdr/>
        <w:spacing w:before="120" w:line="240" w:lineRule="auto"/>
        <w:ind w:hanging="357" w:left="1281"/>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t xml:space="preserve">article 9 derogates from article 14 of the CCAG</w:t>
      </w:r>
      <w:r>
        <w:rPr>
          <w:rFonts w:eastAsia="Times New Roman" w:asciiTheme="minorHAnsi" w:hAnsiTheme="minorHAnsi" w:cstheme="minorHAnsi"/>
          <w:sz w:val="22"/>
          <w:szCs w:val="22"/>
          <w:lang w:val="en-GB"/>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cstheme="minorHAnsi"/>
          <w:szCs w:val="22"/>
          <w:lang w:val="en-GB"/>
        </w:rPr>
        <w:t xml:space="preserve"> </w:t>
      </w:r>
      <w:bookmarkStart w:id="135" w:name="_Toc216881497"/>
      <w:r>
        <w:rPr>
          <w:rFonts w:asciiTheme="minorHAnsi" w:hAnsiTheme="minorHAnsi"/>
          <w:b/>
          <w:bCs/>
          <w:caps/>
          <w:sz w:val="24"/>
          <w:u w:val="single"/>
          <w:lang w:val="en"/>
        </w:rPr>
        <w:t xml:space="preserve">AUDIT</w:t>
      </w:r>
      <w:bookmarkEnd w:id="135"/>
      <w:r/>
      <w:r>
        <w:rPr>
          <w:rFonts w:asciiTheme="minorHAnsi" w:hAnsiTheme="minorHAnsi"/>
          <w:b/>
          <w:caps/>
          <w:sz w:val="24"/>
          <w:u w:val="single"/>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may be submitted to an audit concerning compliance with the regulations and contractual obligations applicable to the performance of the present C</w:t>
      </w:r>
      <w:r>
        <w:rPr>
          <w:rFonts w:asciiTheme="minorHAnsi" w:hAnsiTheme="minorHAnsi"/>
          <w:smallCaps/>
          <w:sz w:val="22"/>
          <w:szCs w:val="22"/>
          <w:lang w:val="en-US"/>
        </w:rPr>
        <w:t xml:space="preserve">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will be informed at least 5 working days in advance.</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w:t>
      </w:r>
      <w:r>
        <w:rPr>
          <w:rFonts w:asciiTheme="minorHAnsi" w:hAnsiTheme="minorHAnsi"/>
          <w:smallCaps/>
          <w:sz w:val="22"/>
          <w:szCs w:val="22"/>
          <w:lang w:val="en-US"/>
        </w:rPr>
        <w:t xml:space="preserve">ontractor </w:t>
      </w:r>
      <w:r>
        <w:rPr>
          <w:rFonts w:asciiTheme="minorHAnsi" w:hAnsiTheme="minorHAnsi"/>
          <w:sz w:val="22"/>
          <w:szCs w:val="22"/>
          <w:lang w:val="en"/>
        </w:rPr>
        <w:t xml:space="preserve">therefore undertakes to:</w:t>
      </w:r>
      <w:r>
        <w:rPr>
          <w:rFonts w:asciiTheme="minorHAnsi" w:hAnsiTheme="minorHAnsi"/>
          <w:sz w:val="22"/>
          <w:szCs w:val="22"/>
          <w:lang w:val="en"/>
        </w:rPr>
      </w:r>
    </w:p>
    <w:p>
      <w:pPr>
        <w:widowControl w:val="false"/>
        <w:numPr>
          <w:ilvl w:val="0"/>
          <w:numId w:val="8"/>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r>
        <w:rPr>
          <w:rFonts w:asciiTheme="minorHAnsi" w:hAnsiTheme="minorHAnsi"/>
          <w:sz w:val="22"/>
          <w:szCs w:val="22"/>
          <w:lang w:val="en-US"/>
        </w:rPr>
      </w:r>
    </w:p>
    <w:p>
      <w:pPr>
        <w:widowControl w:val="false"/>
        <w:numPr>
          <w:ilvl w:val="0"/>
          <w:numId w:val="8"/>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as well as any documents required by the auditors;</w:t>
      </w:r>
      <w:r>
        <w:rPr>
          <w:rFonts w:asciiTheme="minorHAnsi" w:hAnsiTheme="minorHAnsi"/>
          <w:sz w:val="22"/>
          <w:szCs w:val="22"/>
          <w:lang w:val="en-US"/>
        </w:rPr>
      </w:r>
    </w:p>
    <w:p>
      <w:pPr>
        <w:widowControl w:val="false"/>
        <w:numPr>
          <w:ilvl w:val="0"/>
          <w:numId w:val="8"/>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Demonstrate transparency and respond to auditors’ requests;</w:t>
      </w:r>
      <w:r>
        <w:rPr>
          <w:rFonts w:asciiTheme="minorHAnsi" w:hAnsiTheme="minorHAnsi"/>
          <w:sz w:val="22"/>
          <w:szCs w:val="22"/>
          <w:lang w:val="en-US"/>
        </w:rPr>
      </w:r>
    </w:p>
    <w:p>
      <w:pPr>
        <w:widowControl w:val="false"/>
        <w:numPr>
          <w:ilvl w:val="0"/>
          <w:numId w:val="8"/>
        </w:numPr>
        <w:pBdr/>
        <w:spacing w:line="240" w:lineRule="auto"/>
        <w:ind w:hanging="357" w:left="1423"/>
        <w:jc w:val="both"/>
        <w:rPr>
          <w:rFonts w:asciiTheme="minorHAnsi" w:hAnsiTheme="minorHAnsi"/>
          <w:sz w:val="22"/>
          <w:szCs w:val="22"/>
          <w:lang w:val="en-US"/>
        </w:rPr>
      </w:pPr>
      <w:r>
        <w:rPr>
          <w:rFonts w:asciiTheme="minorHAnsi" w:hAnsiTheme="minorHAnsi"/>
          <w:sz w:val="22"/>
          <w:szCs w:val="22"/>
          <w:lang w:val="en-US"/>
        </w:rPr>
        <w:t xml:space="preserve">Implement any corrective measures that may be necessary.</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mallCaps/>
          <w:sz w:val="22"/>
          <w:szCs w:val="22"/>
          <w:lang w:val="en-US"/>
        </w:rPr>
        <w:t xml:space="preserve">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to carry out an investigation in the case of an allegation of a prohibited practice</w:t>
      </w:r>
      <w:r>
        <w:rPr>
          <w:rStyle w:val="1269"/>
          <w:rFonts w:asciiTheme="minorHAnsi" w:hAnsiTheme="minorHAnsi"/>
          <w:sz w:val="22"/>
          <w:szCs w:val="22"/>
        </w:rPr>
        <w:footnoteReference w:id="2"/>
      </w:r>
      <w:r>
        <w:rPr>
          <w:rFonts w:asciiTheme="minorHAnsi" w:hAnsiTheme="minorHAnsi"/>
          <w:sz w:val="22"/>
          <w:szCs w:val="22"/>
          <w:lang w:val="en-US"/>
        </w:rPr>
        <w:t xml:space="preserve"> relating to the present </w:t>
      </w:r>
      <w:r>
        <w:rPr>
          <w:rFonts w:asciiTheme="minorHAnsi" w:hAnsiTheme="minorHAnsi"/>
          <w:smallCaps/>
          <w:sz w:val="22"/>
          <w:szCs w:val="22"/>
          <w:lang w:val="en-US"/>
        </w:rPr>
        <w:t xml:space="preserve">Contract</w:t>
      </w:r>
      <w:r>
        <w:rPr>
          <w:rFonts w:asciiTheme="minorHAnsi" w:hAnsiTheme="minorHAnsi"/>
          <w:sz w:val="22"/>
          <w:szCs w:val="22"/>
          <w:lang w:val="en-US"/>
        </w:rPr>
        <w:t xml:space="preserve">, under the conditions set out above.</w:t>
      </w:r>
      <w:r>
        <w:rPr>
          <w:rFonts w:asciiTheme="minorHAnsi" w:hAnsiTheme="minorHAnsi"/>
          <w:sz w:val="22"/>
          <w:szCs w:val="22"/>
          <w:lang w:val="en-US"/>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 xml:space="preserve">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 xml:space="preserve">Expertise France</w:t>
      </w:r>
      <w:r>
        <w:rPr>
          <w:rFonts w:asciiTheme="minorHAnsi" w:hAnsiTheme="minorHAnsi"/>
          <w:sz w:val="22"/>
          <w:szCs w:val="22"/>
          <w:lang w:val="en"/>
        </w:rPr>
        <w:t xml:space="preserve">.</w:t>
      </w:r>
      <w:r>
        <w:rPr>
          <w:rFonts w:asciiTheme="minorHAnsi" w:hAnsiTheme="minorHAnsi"/>
          <w:sz w:val="22"/>
          <w:szCs w:val="22"/>
          <w:lang w:val="en"/>
        </w:rPr>
      </w:r>
    </w:p>
    <w:p>
      <w:pPr>
        <w:pBdr/>
        <w:spacing w:line="240" w:lineRule="auto"/>
        <w:ind w:right="139" w:left="567"/>
        <w:jc w:val="both"/>
        <w:rPr>
          <w:rFonts w:asciiTheme="minorHAnsi" w:hAnsiTheme="minorHAnsi"/>
          <w:sz w:val="22"/>
          <w:szCs w:val="22"/>
          <w:lang w:val="en"/>
        </w:rPr>
      </w:pPr>
      <w:r>
        <w:rPr>
          <w:rFonts w:asciiTheme="minorHAnsi" w:hAnsiTheme="minorHAnsi"/>
          <w:sz w:val="22"/>
          <w:szCs w:val="22"/>
          <w:lang w:val="en"/>
        </w:rPr>
        <w:t xml:space="preserve">The conclusions may prescribe the implementation of actions and a deadline for completion.</w:t>
      </w:r>
      <w:r>
        <w:rPr>
          <w:rFonts w:asciiTheme="minorHAnsi" w:hAnsiTheme="minorHAnsi"/>
          <w:sz w:val="22"/>
          <w:szCs w:val="22"/>
          <w:lang w:val="en"/>
        </w:rPr>
      </w:r>
    </w:p>
    <w:p>
      <w:pPr>
        <w:pBd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 xml:space="preserve">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 xml:space="preserve">Expertise France</w:t>
      </w:r>
      <w:r>
        <w:rPr>
          <w:rFonts w:asciiTheme="minorHAnsi" w:hAnsiTheme="minorHAnsi"/>
          <w:sz w:val="22"/>
          <w:szCs w:val="22"/>
          <w:lang w:val="en-US"/>
        </w:rPr>
        <w:t xml:space="preserve"> the possibility to terminate the present contract without compensation.</w:t>
      </w:r>
      <w:r>
        <w:rPr>
          <w:rFonts w:asciiTheme="minorHAnsi" w:hAnsiTheme="minorHAnsi"/>
          <w:sz w:val="22"/>
          <w:szCs w:val="22"/>
          <w:lang w:val="en-US"/>
        </w:rPr>
      </w:r>
    </w:p>
    <w:p>
      <w:pPr>
        <w:pStyle w:val="1244"/>
        <w:widowControl w:val="false"/>
        <w:numPr>
          <w:ilvl w:val="0"/>
          <w:numId w:val="6"/>
        </w:numPr>
        <w:pBdr/>
        <w:tabs>
          <w:tab w:val="left" w:leader="none" w:pos="1276"/>
        </w:tabs>
        <w:spacing w:after="240" w:before="600"/>
        <w:ind w:hanging="357" w:left="357"/>
        <w:outlineLvl w:val="0"/>
        <w:rPr>
          <w:rFonts w:asciiTheme="minorHAnsi" w:hAnsiTheme="minorHAnsi"/>
          <w:b/>
          <w:caps/>
          <w:sz w:val="24"/>
          <w:u w:val="single"/>
        </w:rPr>
      </w:pPr>
      <w:r/>
      <w:bookmarkStart w:id="136" w:name="_Toc216881498"/>
      <w:r>
        <w:rPr>
          <w:rFonts w:asciiTheme="minorHAnsi" w:hAnsiTheme="minorHAnsi"/>
          <w:b/>
          <w:bCs/>
          <w:caps/>
          <w:sz w:val="24"/>
          <w:u w:val="single"/>
          <w:lang w:val="en"/>
        </w:rPr>
        <w:t xml:space="preserve">Final provisions</w:t>
      </w:r>
      <w:bookmarkEnd w:id="136"/>
      <w:r/>
      <w:r>
        <w:rPr>
          <w:rFonts w:asciiTheme="minorHAnsi" w:hAnsiTheme="minorHAnsi"/>
          <w:b/>
          <w:caps/>
          <w:sz w:val="24"/>
          <w:u w:val="single"/>
        </w:rPr>
      </w:r>
    </w:p>
    <w:p>
      <w:pPr>
        <w:pStyle w:val="1052"/>
        <w:pBdr/>
        <w:spacing w:after="60" w:before="120"/>
        <w:ind/>
        <w:jc w:val="both"/>
        <w:rPr>
          <w:rFonts w:asciiTheme="minorHAnsi" w:hAnsiTheme="minorHAnsi"/>
          <w:sz w:val="22"/>
          <w:szCs w:val="22"/>
        </w:rPr>
      </w:pPr>
      <w:r/>
      <w:bookmarkStart w:id="137" w:name="_Toc392669654"/>
      <w:r/>
      <w:bookmarkStart w:id="138" w:name="_Toc216881499"/>
      <w:r>
        <w:rPr>
          <w:rFonts w:asciiTheme="minorHAnsi" w:hAnsiTheme="minorHAnsi"/>
          <w:sz w:val="22"/>
          <w:szCs w:val="22"/>
          <w:lang w:val="en"/>
        </w:rPr>
        <w:t xml:space="preserve">Declaration</w:t>
      </w:r>
      <w:bookmarkEnd w:id="137"/>
      <w:r/>
      <w:bookmarkEnd w:id="138"/>
      <w:r/>
      <w:r>
        <w:rPr>
          <w:rFonts w:asciiTheme="minorHAnsi" w:hAnsiTheme="minorHAnsi"/>
          <w:sz w:val="22"/>
          <w:szCs w:val="22"/>
        </w:rPr>
      </w:r>
    </w:p>
    <w:p>
      <w:pPr>
        <w:pBdr/>
        <w:spacing w:before="120" w:line="240" w:lineRule="auto"/>
        <w:ind w:left="567"/>
        <w:jc w:val="both"/>
        <w:rPr>
          <w:rFonts w:cs="Arial" w:asciiTheme="minorHAnsi" w:hAnsiTheme="minorHAnsi"/>
          <w:sz w:val="22"/>
          <w:szCs w:val="22"/>
          <w:lang w:val="en"/>
        </w:rPr>
      </w:pPr>
      <w:r>
        <w:rPr>
          <w:rFonts w:cs="Arial" w:asciiTheme="minorHAnsi" w:hAnsiTheme="minorHAnsi"/>
          <w:sz w:val="22"/>
          <w:szCs w:val="22"/>
          <w:lang w:val="en"/>
        </w:rPr>
        <w:t xml:space="preserve">The</w:t>
      </w:r>
      <w:r>
        <w:rPr>
          <w:rFonts w:cs="Arial" w:asciiTheme="minorHAnsi" w:hAnsiTheme="minorHAnsi"/>
          <w:sz w:val="22"/>
          <w:szCs w:val="22"/>
          <w:lang w:val="en-GB"/>
        </w:rPr>
        <w:t xml:space="preserv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w:t>
      </w:r>
      <w:r>
        <w:rPr>
          <w:rFonts w:cs="Arial" w:asciiTheme="minorHAnsi" w:hAnsiTheme="minorHAnsi"/>
          <w:sz w:val="22"/>
          <w:szCs w:val="22"/>
          <w:lang w:val="en"/>
        </w:rPr>
        <w:t xml:space="preserve">hereby declares:</w:t>
      </w:r>
      <w:r>
        <w:rPr>
          <w:rFonts w:cs="Arial" w:asciiTheme="minorHAnsi" w:hAnsiTheme="minorHAnsi"/>
          <w:sz w:val="22"/>
          <w:szCs w:val="22"/>
          <w:lang w:val="en"/>
        </w:rPr>
      </w:r>
    </w:p>
    <w:p>
      <w:pPr>
        <w:pStyle w:val="127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no natural or legal person on whose behalf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is acting is subject to the prohibitions set out in Articles L. 2141-1 to L. 2141-6 and L. 2141-7 to L. 2141-11 of the French Public Procurement Code or any equivalent prohibition issued in another country;</w:t>
      </w:r>
      <w:r>
        <w:rPr>
          <w:rFonts w:cs="Arial" w:asciiTheme="minorHAnsi" w:hAnsiTheme="minorHAnsi"/>
          <w:sz w:val="22"/>
          <w:szCs w:val="22"/>
          <w:lang w:val="en-GB"/>
        </w:rPr>
      </w:r>
    </w:p>
    <w:p>
      <w:pPr>
        <w:pStyle w:val="127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commitments made by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within the scope of the </w:t>
      </w:r>
      <w:r>
        <w:rPr>
          <w:rFonts w:cs="Arial" w:asciiTheme="minorHAnsi" w:hAnsiTheme="minorHAnsi"/>
          <w:smallCaps/>
          <w:sz w:val="22"/>
          <w:szCs w:val="22"/>
          <w:lang w:val="en"/>
        </w:rPr>
        <w:t xml:space="preserve">Contract </w:t>
      </w:r>
      <w:r>
        <w:rPr>
          <w:rFonts w:cs="Arial" w:asciiTheme="minorHAnsi" w:hAnsiTheme="minorHAnsi"/>
          <w:sz w:val="22"/>
          <w:szCs w:val="22"/>
          <w:lang w:val="en"/>
        </w:rPr>
        <w:t xml:space="preserve">do not create a situation of conflict of interest that may affect the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w:t>
      </w:r>
      <w:r>
        <w:rPr>
          <w:rFonts w:cs="Arial" w:asciiTheme="minorHAnsi" w:hAnsiTheme="minorHAnsi"/>
          <w:sz w:val="22"/>
          <w:szCs w:val="22"/>
          <w:lang w:val="en-GB"/>
        </w:rPr>
      </w:r>
    </w:p>
    <w:p>
      <w:pPr>
        <w:pStyle w:val="127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w:t>
      </w:r>
      <w:r>
        <w:rPr>
          <w:rFonts w:asciiTheme="minorHAnsi" w:hAnsiTheme="minorHAnsi" w:cstheme="minorHAnsi"/>
          <w:smallCaps/>
          <w:sz w:val="22"/>
          <w:lang w:val="en"/>
        </w:rPr>
        <w:t xml:space="preserve">Contractor</w:t>
      </w:r>
      <w:r>
        <w:rPr>
          <w:rFonts w:cs="Arial" w:asciiTheme="minorHAnsi" w:hAnsiTheme="minorHAnsi"/>
          <w:sz w:val="22"/>
          <w:szCs w:val="22"/>
          <w:lang w:val="en"/>
        </w:rPr>
        <w:t xml:space="preserve"> have not committed any act that may influence the process of </w:t>
      </w:r>
      <w:r>
        <w:rPr>
          <w:rFonts w:cs="Arial" w:asciiTheme="minorHAnsi" w:hAnsiTheme="minorHAnsi"/>
          <w:smallCaps/>
          <w:sz w:val="22"/>
          <w:szCs w:val="22"/>
          <w:lang w:val="en"/>
        </w:rPr>
        <w:t xml:space="preserve">Project</w:t>
      </w:r>
      <w:r>
        <w:rPr>
          <w:rFonts w:cs="Arial" w:asciiTheme="minorHAnsi" w:hAnsiTheme="minorHAnsi"/>
          <w:sz w:val="22"/>
          <w:szCs w:val="22"/>
          <w:lang w:val="en"/>
        </w:rPr>
        <w:t xml:space="preserve"> implementation to the detriment of the Beneficiary, and notably that no Understanding has been, or will be, entered into;</w:t>
      </w:r>
      <w:r>
        <w:rPr>
          <w:rFonts w:cs="Arial" w:asciiTheme="minorHAnsi" w:hAnsiTheme="minorHAnsi"/>
          <w:sz w:val="22"/>
          <w:szCs w:val="22"/>
          <w:lang w:val="en-GB"/>
        </w:rPr>
      </w:r>
    </w:p>
    <w:p>
      <w:pPr>
        <w:pStyle w:val="127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that the negotiation, award and execution of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has not given rise to, nor will do so in the future, any act of corruption as defined in the United Nations Convention Against Corruption dated 31 October 2003;</w:t>
      </w:r>
      <w:r>
        <w:rPr>
          <w:rFonts w:cs="Arial" w:asciiTheme="minorHAnsi" w:hAnsiTheme="minorHAnsi"/>
          <w:sz w:val="22"/>
          <w:szCs w:val="22"/>
          <w:lang w:val="en-GB"/>
        </w:rPr>
      </w:r>
    </w:p>
    <w:p>
      <w:pPr>
        <w:pStyle w:val="1270"/>
        <w:numPr>
          <w:ilvl w:val="0"/>
          <w:numId w:val="18"/>
        </w:numPr>
        <w:pBdr/>
        <w:spacing w:before="120" w:line="240" w:lineRule="auto"/>
        <w:ind w:hanging="284" w:left="851"/>
        <w:jc w:val="both"/>
        <w:rPr>
          <w:rFonts w:cs="Arial" w:asciiTheme="minorHAnsi" w:hAnsiTheme="minorHAnsi"/>
          <w:sz w:val="22"/>
          <w:szCs w:val="22"/>
          <w:lang w:val="en-GB"/>
        </w:rPr>
      </w:pPr>
      <w:r>
        <w:rPr>
          <w:rFonts w:cs="Arial" w:asciiTheme="minorHAnsi" w:hAnsiTheme="minorHAnsi"/>
          <w:sz w:val="22"/>
          <w:szCs w:val="22"/>
          <w:lang w:val="en"/>
        </w:rPr>
        <w:t xml:space="preserve">accepts that the </w:t>
      </w:r>
      <w:r>
        <w:rPr>
          <w:rFonts w:cs="Arial" w:asciiTheme="minorHAnsi" w:hAnsiTheme="minorHAnsi"/>
          <w:smallCaps/>
          <w:sz w:val="22"/>
          <w:szCs w:val="22"/>
          <w:lang w:val="en"/>
        </w:rPr>
        <w:t xml:space="preserve">Contract</w:t>
      </w:r>
      <w:r>
        <w:rPr>
          <w:rFonts w:cs="Arial" w:asciiTheme="minorHAnsi" w:hAnsiTheme="minorHAnsi"/>
          <w:sz w:val="22"/>
          <w:szCs w:val="22"/>
          <w:lang w:val="en"/>
        </w:rPr>
        <w:t xml:space="preserve"> will be awarded in accordance with standard practices and in electronic format.</w:t>
      </w:r>
      <w:r>
        <w:rPr>
          <w:rFonts w:cs="Arial" w:asciiTheme="minorHAnsi" w:hAnsiTheme="minorHAnsi"/>
          <w:sz w:val="22"/>
          <w:szCs w:val="22"/>
          <w:lang w:val="en-GB"/>
        </w:rPr>
      </w:r>
    </w:p>
    <w:p>
      <w:pPr>
        <w:pStyle w:val="1237"/>
        <w:pBdr/>
        <w:spacing/>
        <w:ind w:left="567"/>
        <w:jc w:val="both"/>
        <w:rPr>
          <w:rFonts w:cs="Arial" w:asciiTheme="minorHAnsi" w:hAnsiTheme="minorHAnsi"/>
          <w:sz w:val="22"/>
          <w:szCs w:val="22"/>
          <w:lang w:val="en-GB"/>
        </w:rPr>
      </w:pPr>
      <w:r>
        <w:rPr>
          <w:rFonts w:cs="Arial" w:asciiTheme="minorHAnsi" w:hAnsiTheme="minorHAnsi"/>
          <w:sz w:val="22"/>
          <w:szCs w:val="22"/>
          <w:lang w:val="en-GB"/>
        </w:rPr>
        <w:t xml:space="preserve">Furthermore,</w:t>
      </w:r>
      <w:r>
        <w:rPr>
          <w:rFonts w:cs="Arial" w:asciiTheme="minorHAnsi" w:hAnsiTheme="minorHAnsi"/>
          <w:sz w:val="22"/>
          <w:szCs w:val="22"/>
          <w:lang w:val="en-GB"/>
        </w:rPr>
      </w:r>
    </w:p>
    <w:p>
      <w:pPr>
        <w:pStyle w:val="1237"/>
        <w:pBdr/>
        <w:spacing/>
        <w:ind w:left="567"/>
        <w:jc w:val="both"/>
        <w:rPr>
          <w:rFonts w:ascii="Calibri" w:hAnsi="Calibri"/>
          <w:sz w:val="22"/>
          <w:lang w:val="en-GB"/>
        </w:rPr>
      </w:pPr>
      <w:r>
        <w:rPr>
          <w:rFonts w:cs="Arial" w:asciiTheme="minorHAnsi" w:hAnsiTheme="minorHAnsi"/>
          <w:sz w:val="22"/>
          <w:szCs w:val="22"/>
          <w:lang w:val="en-GB"/>
        </w:rPr>
        <w:t xml:space="preserve">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service providers, consultants and subcontractors (including directors, employees and agents of such entities) certify that: </w:t>
      </w:r>
      <w:r>
        <w:rPr>
          <w:rFonts w:ascii="Calibri" w:hAnsi="Calibri"/>
          <w:sz w:val="22"/>
          <w:lang w:val="en-GB"/>
        </w:rPr>
      </w:r>
    </w:p>
    <w:p>
      <w:pPr>
        <w:pStyle w:val="1237"/>
        <w:numPr>
          <w:ilvl w:val="0"/>
          <w:numId w:val="19"/>
        </w:numPr>
        <w:pBdr/>
        <w:spacing/>
        <w:ind w:hanging="284" w:left="851"/>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8" w:tooltip="https://www.sanctionsmap.eu" w:history="1">
        <w:r>
          <w:rPr>
            <w:rStyle w:val="1239"/>
            <w:rFonts w:ascii="Calibri" w:hAnsi="Calibri"/>
            <w:sz w:val="22"/>
            <w:lang w:val="en-GB"/>
          </w:rPr>
          <w:t xml:space="preserve">https://www.sanctionsmap.eu</w:t>
        </w:r>
      </w:hyperlink>
      <w:r>
        <w:rPr>
          <w:rFonts w:ascii="Calibri" w:hAnsi="Calibri"/>
          <w:sz w:val="22"/>
          <w:lang w:val="en-GB"/>
        </w:rPr>
        <w:t xml:space="preserve"> ;</w:t>
      </w:r>
      <w:r>
        <w:rPr>
          <w:rFonts w:ascii="Calibri" w:hAnsi="Calibri"/>
          <w:sz w:val="22"/>
          <w:lang w:val="en-GB"/>
        </w:rPr>
      </w:r>
    </w:p>
    <w:p>
      <w:pPr>
        <w:pStyle w:val="1237"/>
        <w:numPr>
          <w:ilvl w:val="0"/>
          <w:numId w:val="19"/>
        </w:numPr>
        <w:pBdr/>
        <w:spacing/>
        <w:ind w:hanging="284" w:left="851"/>
        <w:jc w:val="both"/>
        <w:rPr>
          <w:rFonts w:ascii="Calibri" w:hAnsi="Calibri"/>
          <w:sz w:val="22"/>
          <w:lang w:val="en-GB"/>
        </w:rPr>
      </w:pPr>
      <w:r>
        <w:rPr>
          <w:rFonts w:ascii="Calibri" w:hAnsi="Calibri"/>
          <w:sz w:val="22"/>
          <w:lang w:val="en-GB"/>
        </w:rPr>
        <w:t xml:space="preserve">they are not included in the lists of financial sanctions adop</w:t>
      </w:r>
      <w:r>
        <w:rPr>
          <w:rFonts w:ascii="Calibri" w:hAnsi="Calibri"/>
          <w:sz w:val="22"/>
          <w:lang w:val="en-GB"/>
        </w:rPr>
        <w:t xml:space="preserve">ted by the United Nations, the European Union, France and/or the United States, notably in the fight against the financing of terrorism and against attacks on national peace and security. For information, the lists can be consulted at the references below:</w:t>
      </w:r>
      <w:r>
        <w:rPr>
          <w:rFonts w:ascii="Calibri" w:hAnsi="Calibri"/>
          <w:sz w:val="22"/>
          <w:lang w:val="en-GB"/>
        </w:rPr>
      </w:r>
    </w:p>
    <w:p>
      <w:pPr>
        <w:pStyle w:val="1237"/>
        <w:numPr>
          <w:ilvl w:val="0"/>
          <w:numId w:val="20"/>
        </w:numPr>
        <w:pBdr/>
        <w:spacing/>
        <w:ind/>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9" w:tooltip="https://www.un.org/securitycouncil/content/un-sc-consolidated-list" w:history="1">
        <w:r>
          <w:rPr>
            <w:rStyle w:val="1239"/>
            <w:rFonts w:ascii="Calibri" w:hAnsi="Calibri"/>
            <w:sz w:val="22"/>
            <w:lang w:val="en-GB"/>
          </w:rPr>
          <w:t xml:space="preserve">https://www.un.org/securitycouncil/content/un-sc-consolidated-list</w:t>
        </w:r>
      </w:hyperlink>
      <w:r>
        <w:rPr>
          <w:rFonts w:ascii="Calibri" w:hAnsi="Calibri"/>
          <w:sz w:val="22"/>
          <w:lang w:val="en-GB"/>
        </w:rPr>
        <w:t xml:space="preserve">;</w:t>
      </w:r>
      <w:r>
        <w:rPr>
          <w:rFonts w:ascii="Calibri" w:hAnsi="Calibri"/>
          <w:sz w:val="22"/>
          <w:lang w:val="en-GB"/>
        </w:rPr>
      </w:r>
    </w:p>
    <w:p>
      <w:pPr>
        <w:pStyle w:val="1237"/>
        <w:numPr>
          <w:ilvl w:val="0"/>
          <w:numId w:val="20"/>
        </w:numPr>
        <w:pBdr/>
        <w:spacing/>
        <w:ind/>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30" w:tooltip="https://www.sanctionsmap.eu" w:history="1">
        <w:r>
          <w:rPr>
            <w:rStyle w:val="1239"/>
            <w:rFonts w:ascii="Calibri" w:hAnsi="Calibri"/>
            <w:sz w:val="22"/>
            <w:lang w:val="en-GB"/>
          </w:rPr>
          <w:t xml:space="preserve">https://www.sanctionsmap.eu</w:t>
        </w:r>
      </w:hyperlink>
      <w:r>
        <w:rPr>
          <w:rFonts w:ascii="Calibri" w:hAnsi="Calibri"/>
          <w:sz w:val="22"/>
          <w:lang w:val="en-GB"/>
        </w:rPr>
        <w:t xml:space="preserve">;</w:t>
      </w:r>
      <w:r>
        <w:rPr>
          <w:rFonts w:ascii="Calibri" w:hAnsi="Calibri"/>
          <w:sz w:val="22"/>
          <w:lang w:val="en-GB"/>
        </w:rPr>
      </w:r>
    </w:p>
    <w:p>
      <w:pPr>
        <w:pStyle w:val="1237"/>
        <w:numPr>
          <w:ilvl w:val="0"/>
          <w:numId w:val="20"/>
        </w:numPr>
        <w:pBdr/>
        <w:spacing/>
        <w:ind/>
        <w:jc w:val="both"/>
        <w:rPr>
          <w:rFonts w:ascii="Calibri" w:hAnsi="Calibri"/>
          <w:sz w:val="22"/>
          <w:lang w:val="en-GB"/>
        </w:rPr>
      </w:pPr>
      <w:r>
        <w:rPr>
          <w:rFonts w:ascii="Calibri" w:hAnsi="Calibri"/>
          <w:sz w:val="22"/>
          <w:lang w:val="en-GB"/>
        </w:rPr>
        <w:t xml:space="preserve">for France, see: </w:t>
      </w:r>
      <w:hyperlink r:id="rId31" w:tooltip="https://gels-avoirs.dgtresor.gouv.fr/List" w:history="1">
        <w:r>
          <w:rPr>
            <w:rStyle w:val="1239"/>
            <w:rFonts w:ascii="Calibri" w:hAnsi="Calibri"/>
            <w:sz w:val="22"/>
            <w:lang w:val="en-GB"/>
          </w:rPr>
          <w:t xml:space="preserve">https://gels-avoirs.dgtresor.gouv.fr/List</w:t>
        </w:r>
      </w:hyperlink>
      <w:r>
        <w:rPr>
          <w:rFonts w:ascii="Calibri" w:hAnsi="Calibri"/>
          <w:sz w:val="22"/>
          <w:lang w:val="en-GB"/>
        </w:rPr>
        <w:t xml:space="preserve">;</w:t>
      </w:r>
      <w:r>
        <w:rPr>
          <w:rFonts w:ascii="Calibri" w:hAnsi="Calibri"/>
          <w:sz w:val="22"/>
          <w:lang w:val="en-GB"/>
        </w:rPr>
      </w:r>
    </w:p>
    <w:p>
      <w:pPr>
        <w:pStyle w:val="1237"/>
        <w:numPr>
          <w:ilvl w:val="0"/>
          <w:numId w:val="20"/>
        </w:numPr>
        <w:pBdr/>
        <w:spacing/>
        <w:ind/>
        <w:jc w:val="both"/>
        <w:rPr>
          <w:rFonts w:ascii="Calibri" w:hAnsi="Calibri"/>
          <w:sz w:val="22"/>
          <w:lang w:val="en-GB"/>
        </w:rPr>
      </w:pPr>
      <w:r>
        <w:rPr>
          <w:rFonts w:ascii="Calibri" w:hAnsi="Calibri"/>
          <w:sz w:val="22"/>
          <w:lang w:val="en-GB"/>
        </w:rPr>
        <w:t xml:space="preserve">for the United States, see: </w:t>
      </w:r>
      <w:hyperlink r:id="rId32" w:tooltip="https://home.treasury.gov/policy-issues/financial-sanctions/sanctions-programs-and-country-information" w:history="1">
        <w:r>
          <w:rPr>
            <w:rStyle w:val="1239"/>
            <w:rFonts w:ascii="Calibri" w:hAnsi="Calibri" w:cs="Calibri"/>
            <w:sz w:val="22"/>
            <w:szCs w:val="22"/>
            <w:lang w:val="en-GB"/>
          </w:rPr>
          <w:t xml:space="preserve">https://home.treasury.gov/policy-issues/financial-sanctions/sanctions-programs-and-country-information</w:t>
        </w:r>
      </w:hyperlink>
      <w:r>
        <w:rPr>
          <w:rFonts w:ascii="Calibri" w:hAnsi="Calibri" w:cs="Calibri"/>
          <w:sz w:val="22"/>
          <w:szCs w:val="22"/>
          <w:lang w:val="en-GB"/>
        </w:rPr>
        <w:t xml:space="preserve">;</w:t>
      </w:r>
      <w:r>
        <w:rPr>
          <w:rFonts w:ascii="Calibri" w:hAnsi="Calibri"/>
          <w:sz w:val="22"/>
          <w:lang w:val="en-GB"/>
        </w:rPr>
      </w:r>
    </w:p>
    <w:p>
      <w:pPr>
        <w:pStyle w:val="1237"/>
        <w:numPr>
          <w:ilvl w:val="0"/>
          <w:numId w:val="19"/>
        </w:numPr>
        <w:pBdr/>
        <w:spacing/>
        <w:ind w:hanging="284" w:left="851"/>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r>
        <w:rPr>
          <w:rFonts w:ascii="Calibri" w:hAnsi="Calibri"/>
          <w:sz w:val="22"/>
          <w:lang w:val="en-GB"/>
        </w:rPr>
      </w:r>
    </w:p>
    <w:p>
      <w:pPr>
        <w:pStyle w:val="1237"/>
        <w:pBdr/>
        <w:spacing/>
        <w:ind w:left="851"/>
        <w:jc w:val="both"/>
        <w:rPr>
          <w:rFonts w:ascii="Calibri" w:hAnsi="Calibri"/>
          <w:sz w:val="22"/>
          <w:lang w:val="en-GB"/>
        </w:rPr>
      </w:pPr>
      <w:r/>
      <w:hyperlink r:id="rId33" w:tooltip="https://www.worldbank.org/en/projects-operations/procurement/debarred-firms" w:history="1">
        <w:r>
          <w:rPr>
            <w:rStyle w:val="1239"/>
            <w:rFonts w:ascii="Calibri" w:hAnsi="Calibri"/>
            <w:sz w:val="22"/>
            <w:lang w:val="en-GB"/>
          </w:rPr>
          <w:t xml:space="preserve">https://www.worldbank.org/en/projects-operations/procurement/debarred-firms</w:t>
        </w:r>
      </w:hyperlink>
      <w:r>
        <w:rPr>
          <w:rFonts w:ascii="Calibri" w:hAnsi="Calibri"/>
          <w:sz w:val="22"/>
          <w:lang w:val="en-GB"/>
        </w:rPr>
        <w:t xml:space="preserve"> </w:t>
      </w:r>
      <w:r>
        <w:rPr>
          <w:rFonts w:ascii="Calibri" w:hAnsi="Calibri"/>
          <w:sz w:val="22"/>
          <w:lang w:val="en-GB"/>
        </w:rPr>
      </w:r>
    </w:p>
    <w:p>
      <w:pPr>
        <w:pStyle w:val="1237"/>
        <w:pBdr/>
        <w:spacing/>
        <w:ind w:left="567"/>
        <w:jc w:val="both"/>
        <w:rPr>
          <w:rFonts w:ascii="Calibri" w:hAnsi="Calibri"/>
          <w:sz w:val="22"/>
          <w:lang w:val="en-GB"/>
        </w:rPr>
      </w:pPr>
      <w:r>
        <w:rPr>
          <w:rFonts w:ascii="Calibri" w:hAnsi="Calibri"/>
          <w:i/>
          <w:sz w:val="22"/>
          <w:lang w:val="en-GB"/>
        </w:rPr>
        <w:t xml:space="preserve">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 xml:space="preserve">.</w:t>
      </w:r>
      <w:r>
        <w:rPr>
          <w:rFonts w:ascii="Calibri" w:hAnsi="Calibri"/>
          <w:sz w:val="22"/>
          <w:lang w:val="en-GB"/>
        </w:rPr>
      </w:r>
    </w:p>
    <w:p>
      <w:pPr>
        <w:pStyle w:val="1237"/>
        <w:pBdr/>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 xml:space="preserve">Contractor</w:t>
      </w:r>
      <w:r>
        <w:rPr>
          <w:rFonts w:ascii="Calibri" w:hAnsi="Calibri"/>
          <w:sz w:val="22"/>
          <w:lang w:val="en-GB"/>
        </w:rPr>
        <w:t xml:space="preserve">, its affiliates, suppliers, contractors, consultants and subcontractors (including directors, employees and agents of such entities) acknowledge and accept that the above-mentioned situations may lead to the automatic termination of the contract.</w:t>
      </w:r>
      <w:r>
        <w:rPr>
          <w:rFonts w:ascii="Calibri" w:hAnsi="Calibri"/>
          <w:sz w:val="22"/>
          <w:lang w:val="en-GB"/>
        </w:rPr>
      </w:r>
    </w:p>
    <w:p>
      <w:pPr>
        <w:pBdr/>
        <w:spacing w:before="240" w:line="240" w:lineRule="auto"/>
        <w:ind w:left="567"/>
        <w:jc w:val="both"/>
        <w:rPr>
          <w:rFonts w:cs="Arial" w:asciiTheme="minorHAnsi" w:hAnsiTheme="minorHAnsi"/>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 xml:space="preserve">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 xml:space="preserve">F</w:t>
      </w:r>
      <w:r>
        <w:rPr>
          <w:rFonts w:asciiTheme="minorHAnsi" w:hAnsiTheme="minorHAnsi" w:cstheme="minorHAnsi"/>
          <w:smallCaps/>
          <w:sz w:val="22"/>
          <w:szCs w:val="22"/>
          <w:lang w:val="en-GB"/>
        </w:rPr>
        <w:t xml:space="preserve">rance</w:t>
      </w:r>
      <w:r>
        <w:rPr>
          <w:rFonts w:ascii="Calibri" w:hAnsi="Calibri"/>
          <w:sz w:val="22"/>
          <w:lang w:val="en-GB"/>
        </w:rPr>
        <w:t xml:space="preserve"> without delay of any change in our situation during the execution of the contract with regard to the present declaration.</w:t>
      </w:r>
      <w:r>
        <w:rPr>
          <w:rFonts w:cs="Arial" w:asciiTheme="minorHAnsi" w:hAnsiTheme="minorHAnsi"/>
          <w:sz w:val="22"/>
          <w:szCs w:val="22"/>
          <w:lang w:val="en-GB"/>
        </w:rPr>
      </w:r>
    </w:p>
    <w:p>
      <w:pPr>
        <w:pBdr/>
        <w:spacing w:line="240" w:lineRule="auto"/>
        <w:ind/>
        <w:rPr>
          <w:rFonts w:eastAsia="Times New Roman" w:cs="Arial" w:asciiTheme="minorHAnsi" w:hAnsiTheme="minorHAnsi"/>
          <w:lang w:val="en-GB"/>
        </w:rPr>
      </w:pPr>
      <w:r>
        <w:rPr>
          <w:rFonts w:eastAsia="Times New Roman" w:cs="Arial" w:asciiTheme="minorHAnsi" w:hAnsiTheme="minorHAnsi"/>
          <w:lang w:val="en-GB"/>
        </w:rPr>
      </w:r>
      <w:r>
        <w:rPr>
          <w:rFonts w:eastAsia="Times New Roman" w:cs="Arial" w:asciiTheme="minorHAnsi" w:hAnsiTheme="minorHAnsi"/>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THE CONTRACTOR:</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Preceded by the handwritten words “Read and approved":</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3"/>
      </w:r>
      <w:r>
        <w:rPr>
          <w:rFonts w:eastAsia="Times New Roman" w:asciiTheme="minorHAnsi" w:hAnsiTheme="minorHAnsi"/>
          <w:sz w:val="22"/>
          <w:szCs w:val="22"/>
          <w:lang w:val="en"/>
        </w:rPr>
        <w:t xml:space="preserve">: </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w:t>
      </w:r>
      <w:r>
        <w:rPr>
          <w:rFonts w:eastAsia="Times New Roman" w:cs="Arial" w:asciiTheme="minorHAnsi" w:hAnsiTheme="minorHAnsi"/>
          <w:sz w:val="22"/>
          <w:szCs w:val="22"/>
          <w:lang w:val="en"/>
        </w:rPr>
        <w:br/>
        <w:t xml:space="preserve">First name:</w:t>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GB"/>
        </w:rPr>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FOR EXPERTISE FRANCE: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This offer is accepted as an undertaking.</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r>
      <w:r>
        <w:rPr>
          <w:rFonts w:eastAsia="Times New Roman" w:cs="Arial" w:asciiTheme="minorHAnsi" w:hAnsiTheme="minorHAnsi"/>
          <w:sz w:val="22"/>
          <w:szCs w:val="22"/>
          <w:lang w:val="en"/>
        </w:rPr>
        <w:tab/>
        <w:t xml:space="preserve">In.....………....….., on...…….....20....</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lang w:val="en-GB"/>
        </w:rPr>
      </w:pPr>
      <w:r>
        <w:rPr>
          <w:rFonts w:eastAsia="Times New Roman" w:asciiTheme="minorHAnsi" w:hAnsiTheme="minorHAnsi"/>
          <w:sz w:val="22"/>
          <w:szCs w:val="22"/>
          <w:lang w:val="en"/>
        </w:rPr>
        <w:t xml:space="preserve">Signature</w:t>
      </w:r>
      <w:r>
        <w:rPr>
          <w:rFonts w:eastAsia="Times New Roman" w:asciiTheme="minorHAnsi" w:hAnsiTheme="minorHAnsi"/>
          <w:sz w:val="22"/>
          <w:szCs w:val="22"/>
          <w:vertAlign w:val="superscript"/>
          <w:lang w:val="en"/>
        </w:rPr>
        <w:footnoteReference w:id="4"/>
      </w:r>
      <w:r>
        <w:rPr>
          <w:rFonts w:eastAsia="Times New Roman" w:asciiTheme="minorHAnsi" w:hAnsiTheme="minorHAnsi"/>
          <w:sz w:val="22"/>
          <w:szCs w:val="22"/>
          <w:lang w:val="en"/>
        </w:rPr>
        <w:t xml:space="preserve">:</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rPr>
          <w:rFonts w:eastAsia="Times New Roman" w:cs="Arial" w:asciiTheme="minorHAnsi" w:hAnsiTheme="minorHAnsi"/>
          <w:sz w:val="22"/>
          <w:szCs w:val="22"/>
          <w:lang w:val="en"/>
        </w:rPr>
      </w:pPr>
      <w:r>
        <w:rPr>
          <w:rFonts w:eastAsia="Times New Roman" w:cs="Arial" w:asciiTheme="minorHAnsi" w:hAnsiTheme="minorHAnsi"/>
          <w:sz w:val="22"/>
          <w:szCs w:val="22"/>
          <w:lang w:val="en"/>
        </w:rPr>
        <w:t xml:space="preserve">Name: GURTNER</w:t>
      </w:r>
      <w:r>
        <w:rPr>
          <w:rFonts w:eastAsia="Times New Roman" w:cs="Arial" w:asciiTheme="minorHAnsi" w:hAnsiTheme="minorHAnsi"/>
          <w:sz w:val="22"/>
          <w:szCs w:val="22"/>
          <w:lang w:val="en"/>
        </w:rPr>
        <w:br/>
        <w:t xml:space="preserve">First name: Murielle</w:t>
      </w:r>
      <w:r>
        <w:rPr>
          <w:rFonts w:eastAsia="Times New Roman" w:cs="Arial" w:asciiTheme="minorHAnsi" w:hAnsiTheme="minorHAnsi"/>
          <w:sz w:val="22"/>
          <w:szCs w:val="22"/>
          <w:lang w:val="en"/>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lang w:val="en-GB"/>
        </w:rPr>
      </w:pPr>
      <w:r>
        <w:rPr>
          <w:rFonts w:eastAsia="Times New Roman" w:cs="Arial" w:asciiTheme="minorHAnsi" w:hAnsiTheme="minorHAnsi"/>
          <w:sz w:val="22"/>
          <w:szCs w:val="22"/>
          <w:lang w:val="en"/>
        </w:rPr>
        <w:t xml:space="preserve">Role: </w:t>
      </w:r>
      <w:r>
        <w:rPr>
          <w:rFonts w:asciiTheme="minorHAnsi" w:hAnsiTheme="minorHAnsi" w:cstheme="minorHAnsi"/>
          <w:sz w:val="22"/>
          <w:szCs w:val="22"/>
          <w:lang w:val="en"/>
        </w:rPr>
        <w:t xml:space="preserve">Regional Coordinator for the Andean Countries</w:t>
      </w:r>
      <w:r>
        <w:rPr>
          <w:rFonts w:eastAsia="Times New Roman" w:cs="Arial" w:asciiTheme="minorHAnsi" w:hAnsiTheme="minorHAnsi"/>
          <w:sz w:val="22"/>
          <w:szCs w:val="22"/>
          <w:lang w:val="en-GB"/>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pBdr/>
        <w:spacing w:before="240" w:line="240" w:lineRule="auto"/>
        <w:ind/>
        <w:jc w:val="both"/>
        <w:rPr>
          <w:rFonts w:eastAsia="Times New Roman" w:cs="Arial" w:asciiTheme="minorHAnsi" w:hAnsiTheme="minorHAnsi"/>
          <w:b/>
          <w:bCs/>
          <w:sz w:val="22"/>
          <w:szCs w:val="22"/>
          <w:u w:val="single"/>
          <w:lang w:val="en-GB"/>
        </w:rPr>
      </w:pPr>
      <w:r>
        <w:rPr>
          <w:rFonts w:eastAsia="Times New Roman" w:cs="Arial" w:asciiTheme="minorHAnsi" w:hAnsiTheme="minorHAnsi"/>
          <w:b/>
          <w:bCs/>
          <w:sz w:val="22"/>
          <w:szCs w:val="22"/>
          <w:u w:val="single"/>
          <w:lang w:val="en"/>
        </w:rPr>
        <w:t xml:space="preserve">Done in one original copy retained by </w:t>
      </w:r>
      <w:r>
        <w:rPr>
          <w:rFonts w:eastAsia="Times New Roman" w:cs="Arial" w:asciiTheme="minorHAnsi" w:hAnsiTheme="minorHAnsi"/>
          <w:b/>
          <w:bCs/>
          <w:smallCaps/>
          <w:sz w:val="22"/>
          <w:szCs w:val="22"/>
          <w:u w:val="single"/>
          <w:lang w:val="en"/>
        </w:rPr>
        <w:t xml:space="preserve">Expertise France</w:t>
      </w:r>
      <w:r>
        <w:rPr>
          <w:rFonts w:eastAsia="Times New Roman" w:cs="Arial" w:asciiTheme="minorHAnsi" w:hAnsiTheme="minorHAnsi"/>
          <w:b/>
          <w:bCs/>
          <w:sz w:val="22"/>
          <w:szCs w:val="22"/>
          <w:u w:val="single"/>
          <w:lang w:val="en"/>
        </w:rPr>
        <w:t xml:space="preserve">.</w:t>
      </w:r>
      <w:r>
        <w:rPr>
          <w:rFonts w:eastAsia="Times New Roman" w:cs="Arial" w:asciiTheme="minorHAnsi" w:hAnsiTheme="minorHAnsi"/>
          <w:b/>
          <w:bCs/>
          <w:sz w:val="22"/>
          <w:szCs w:val="22"/>
          <w:u w:val="single"/>
          <w:lang w:val="en-GB"/>
        </w:rPr>
      </w:r>
    </w:p>
    <w:p>
      <w:pPr>
        <w:pBdr/>
        <w:spacing w:before="240" w:line="240" w:lineRule="auto"/>
        <w:ind w:right="3367"/>
        <w:jc w:val="both"/>
        <w:rPr>
          <w:rFonts w:eastAsia="Times New Roman" w:cs="Arial" w:asciiTheme="minorHAnsi" w:hAnsiTheme="minorHAnsi"/>
          <w:b/>
          <w:sz w:val="22"/>
          <w:szCs w:val="22"/>
          <w:lang w:val="en-GB"/>
        </w:rPr>
      </w:pPr>
      <w:r>
        <w:rPr>
          <w:rFonts w:eastAsia="Times New Roman" w:cs="Arial" w:asciiTheme="minorHAnsi" w:hAnsiTheme="minorHAnsi"/>
          <w:b/>
          <w:sz w:val="22"/>
          <w:szCs w:val="22"/>
          <w:lang w:val="en-GB"/>
        </w:rPr>
      </w:r>
      <w:r>
        <w:rPr>
          <w:rFonts w:eastAsia="Times New Roman" w:cs="Arial" w:asciiTheme="minorHAnsi" w:hAnsiTheme="minorHAnsi"/>
          <w:b/>
          <w:sz w:val="22"/>
          <w:szCs w:val="22"/>
          <w:lang w:val="en-GB"/>
        </w:rPr>
      </w:r>
    </w:p>
    <w:p>
      <w:pPr>
        <w:widowControl w:val="false"/>
        <w:pBdr/>
        <w:spacing/>
        <w:ind w:right="3367"/>
        <w:rPr>
          <w:rFonts w:cs="Arial" w:asciiTheme="minorHAnsi" w:hAnsiTheme="minorHAnsi"/>
          <w:b/>
          <w:caps/>
          <w:lang w:val="en-GB"/>
        </w:rPr>
        <w:sectPr>
          <w:headerReference w:type="default" r:id="rId12"/>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lang w:val="en-GB"/>
        </w:rPr>
      </w:r>
      <w:r>
        <w:rPr>
          <w:rFonts w:cs="Arial" w:asciiTheme="minorHAnsi" w:hAnsiTheme="minorHAnsi"/>
          <w:b/>
          <w:caps/>
          <w:lang w:val="en-GB"/>
        </w:rPr>
      </w:r>
    </w:p>
    <w:p>
      <w:pPr>
        <w:widowControl w:val="false"/>
        <w:pBdr/>
        <w:spacing/>
        <w:ind/>
        <w:rPr>
          <w:rFonts w:cs="Arial" w:asciiTheme="minorHAnsi" w:hAnsiTheme="minorHAnsi"/>
          <w:b/>
          <w:caps/>
          <w:lang w:val="en-GB"/>
        </w:rPr>
      </w:pPr>
      <w:r>
        <w:rPr>
          <w:rFonts w:cs="Arial" w:asciiTheme="minorHAnsi" w:hAnsiTheme="minorHAnsi"/>
          <w:b/>
          <w:caps/>
          <w:lang w:val="en-GB"/>
        </w:rPr>
      </w:r>
      <w:r>
        <w:rPr>
          <w:rFonts w:cs="Arial" w:asciiTheme="minorHAnsi" w:hAnsiTheme="minorHAnsi"/>
          <w:b/>
          <w:caps/>
          <w:lang w:val="en-GB"/>
        </w:rPr>
      </w:r>
    </w:p>
    <w:p>
      <w:pPr>
        <w:pStyle w:val="1244"/>
        <w:widowControl w:val="false"/>
        <w:pBdr/>
        <w:spacing w:after="240" w:before="600"/>
        <w:ind w:firstLine="0" w:left="357"/>
        <w:jc w:val="left"/>
        <w:outlineLvl w:val="0"/>
        <w:rPr>
          <w:rFonts w:asciiTheme="minorHAnsi" w:hAnsiTheme="minorHAnsi"/>
          <w:b/>
          <w:caps/>
          <w:sz w:val="24"/>
        </w:rPr>
      </w:pPr>
      <w:r/>
      <w:bookmarkStart w:id="139" w:name="_Toc216881500"/>
      <w:r>
        <w:rPr>
          <w:rFonts w:asciiTheme="minorHAnsi" w:hAnsiTheme="minorHAnsi"/>
          <w:b/>
          <w:bCs/>
          <w:caps/>
          <w:sz w:val="24"/>
          <w:lang w:val="en"/>
        </w:rPr>
        <w:t xml:space="preserve">Annex 1: Specifications</w:t>
      </w:r>
      <w:bookmarkEnd w:id="139"/>
      <w:r/>
      <w:r>
        <w:rPr>
          <w:rFonts w:asciiTheme="minorHAnsi" w:hAnsiTheme="minorHAnsi"/>
          <w:b/>
          <w:caps/>
          <w:sz w:val="24"/>
        </w:rPr>
      </w:r>
    </w:p>
    <w:p>
      <w:pPr>
        <w:pStyle w:val="1252"/>
        <w:pBdr/>
        <w:spacing/>
        <w:ind/>
        <w:jc w:val="left"/>
        <w:rPr>
          <w:rFonts w:asciiTheme="minorHAnsi" w:hAnsiTheme="minorHAnsi"/>
          <w:sz w:val="20"/>
        </w:rPr>
      </w:pPr>
      <w:r>
        <w:rPr>
          <w:rFonts w:asciiTheme="minorHAnsi" w:hAnsiTheme="minorHAnsi"/>
          <w:sz w:val="20"/>
        </w:rPr>
      </w:r>
      <w:r>
        <w:rPr>
          <w:rFonts w:asciiTheme="minorHAnsi" w:hAnsiTheme="minorHAnsi"/>
          <w:sz w:val="20"/>
        </w:rPr>
      </w:r>
    </w:p>
    <w:p>
      <w:pPr>
        <w:pBdr/>
        <w:tabs>
          <w:tab w:val="left" w:leader="none" w:pos="2745"/>
        </w:tabs>
        <w:spacing/>
        <w:ind/>
        <w:rPr>
          <w:rFonts w:eastAsia="Times New Roman" w:cs="Arial" w:asciiTheme="minorHAnsi" w:hAnsiTheme="minorHAnsi"/>
          <w:szCs w:val="24"/>
        </w:rPr>
      </w:pPr>
      <w:r>
        <w:rPr>
          <w:rFonts w:eastAsia="Times New Roman" w:cs="Arial" w:asciiTheme="minorHAnsi" w:hAnsiTheme="minorHAnsi"/>
          <w:szCs w:val="24"/>
        </w:rPr>
      </w:r>
      <w:r>
        <w:rPr>
          <w:rFonts w:eastAsia="Times New Roman" w:cs="Arial" w:asciiTheme="minorHAnsi" w:hAnsiTheme="minorHAnsi"/>
          <w:szCs w:val="24"/>
        </w:rPr>
      </w:r>
    </w:p>
    <w:sectPr>
      <w:headerReference w:type="default" r:id="rId13"/>
      <w:footerReference w:type="even" r:id="rId16"/>
      <w:footnotePr/>
      <w:endnotePr/>
      <w:type w:val="nextPage"/>
      <w:pgSz w:h="16838" w:orient="portrait" w:w="11906"/>
      <w:pgMar w:top="845" w:right="1009" w:bottom="142" w:left="1151" w:header="431" w:footer="340" w:gutter="0"/>
      <w:cols w:num="1" w:sep="0" w:space="708" w:equalWidth="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Camilo Brinez" w:date="2025-12-17T16:36:00Z" w:initials="CB">
    <w:p w14:paraId="00000001" w14:textId="00000001">
      <w:pPr>
        <w:spacing w:line="240" w:after="0" w:lineRule="auto" w:before="0"/>
        <w:ind w:firstLine="0" w:left="0" w:right="0"/>
        <w:jc w:val="left"/>
      </w:pPr>
      <w:r>
        <w:rPr>
          <w:rFonts w:eastAsia="Arial" w:ascii="Arial" w:hAnsi="Arial" w:cs="Arial"/>
          <w:sz w:val="22"/>
        </w:rPr>
        <w:t xml:space="preserve">A completar por el contratista</w:t>
      </w:r>
    </w:p>
  </w:comment>
  <w:comment w:id="1" w:author="Camilo Brinez" w:date="2025-12-17T16:31:00Z" w:initials="CB">
    <w:p w14:paraId="00000002" w14:textId="00000002">
      <w:pPr>
        <w:spacing w:line="240" w:after="0" w:lineRule="auto" w:before="0"/>
        <w:ind w:firstLine="0" w:left="0" w:right="0"/>
        <w:jc w:val="left"/>
      </w:pPr>
      <w:r>
        <w:rPr>
          <w:rFonts w:eastAsia="Arial" w:ascii="Arial" w:hAnsi="Arial" w:cs="Arial"/>
          <w:sz w:val="22"/>
        </w:rPr>
        <w:t xml:space="preserve">A completar por el contratista</w:t>
      </w:r>
    </w:p>
  </w:comment>
  <w:comment w:id="0" w:author="Camilo Brinez" w:date="2025-12-17T16:29:00Z" w:initials="CB">
    <w:p w14:paraId="00000003" w14:textId="00000003">
      <w:pPr>
        <w:spacing w:line="240" w:after="0" w:lineRule="auto" w:before="0"/>
        <w:ind w:firstLine="0" w:left="0" w:right="0"/>
        <w:jc w:val="left"/>
      </w:pPr>
      <w:r>
        <w:rPr>
          <w:rFonts w:eastAsia="Arial" w:ascii="Arial" w:hAnsi="Arial" w:cs="Arial"/>
          <w:sz w:val="22"/>
        </w:rPr>
        <w:t xml:space="preserve">A completar por el contratista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512E2E8A" w16cex:dateUtc="2025-12-17T21:36:00Z"/>
  <w16cex:commentExtensible w16cex:durableId="17D19FE0" w16cex:dateUtc="2025-12-17T21:31:00Z"/>
  <w16cex:commentExtensible w16cex:durableId="0CE50F51" w16cex:dateUtc="2025-12-17T21:29: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512E2E8A"/>
  <w16cid:commentId w16cid:paraId="00000002" w16cid:durableId="17D19FE0"/>
  <w16cid:commentId w16cid:paraId="00000003" w16cid:durableId="0CE50F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Segoe UI Symbol">
    <w:panose1 w:val="020B0502040504020204"/>
  </w:font>
  <w:font w:name="Courier New">
    <w:panose1 w:val="02070309020205020404"/>
  </w:font>
  <w:font w:name="Symbol">
    <w:panose1 w:val="05010000000000000000"/>
  </w:font>
  <w:font w:name="Wingdings">
    <w:panose1 w:val="05000000000000000000"/>
  </w:font>
  <w:font w:name="Calibri">
    <w:panose1 w:val="020F0502020204030204"/>
  </w:font>
  <w:font w:name="Gill Sans MT">
    <w:panose1 w:val="020B0603020202020204"/>
  </w:font>
  <w:font w:name="Tahoma">
    <w:panose1 w:val="020B0604030504040204"/>
  </w:font>
  <w:font w:name="SimSun">
    <w:panose1 w:val="02020603020101020101"/>
  </w:font>
  <w:font w:name="Helvetica">
    <w:panose1 w:val="020B0604020202020204"/>
  </w:font>
  <w:font w:name="Times New Roman Bold">
    <w:panose1 w:val="020206030504050203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8"/>
      <w:pBdr/>
      <w:tabs>
        <w:tab w:val="clear" w:leader="none" w:pos="4536"/>
        <w:tab w:val="clear" w:leader="none" w:pos="9072"/>
        <w:tab w:val="right" w:leader="none" w:pos="9639"/>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43134468"/>
      <w:docPartObj>
        <w:docPartGallery w:val="Page Numbers (Top of Page)"/>
        <w:docPartUnique w:val="true"/>
      </w:docPartObj>
      <w:rPr>
        <w:rFonts w:asciiTheme="minorHAnsi" w:hAnsiTheme="minorHAnsi"/>
        <w:sz w:val="22"/>
        <w:szCs w:val="22"/>
      </w:rPr>
    </w:sdtPr>
    <w:sdtContent>
      <w:sdt>
        <w:sdtPr>
          <w15:appearance w15:val="boundingBox"/>
          <w:id w:val="1369729007"/>
          <w:docPartObj>
            <w:docPartGallery w:val="Page Numbers (Top of Page)"/>
            <w:docPartUnique w:val="true"/>
          </w:docPartObj>
          <w:rPr>
            <w:rFonts w:asciiTheme="minorHAnsi" w:hAnsiTheme="minorHAnsi"/>
            <w:sz w:val="22"/>
            <w:szCs w:val="22"/>
          </w:rPr>
        </w:sdtPr>
        <w:sdtContent>
          <w:p>
            <w:pPr>
              <w:pStyle w:val="1238"/>
              <w:pBdr/>
              <w:tabs>
                <w:tab w:val="clear" w:leader="none" w:pos="4536"/>
                <w:tab w:val="clear" w:leader="none" w:pos="9072"/>
                <w:tab w:val="right" w:leader="none" w:pos="9468"/>
              </w:tabs>
              <w:spacing/>
              <w:ind/>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22</w:t>
            </w:r>
            <w:r>
              <w:rPr>
                <w:rFonts w:asciiTheme="minorHAnsi" w:hAnsiTheme="minorHAnsi"/>
                <w:sz w:val="22"/>
                <w:szCs w:val="22"/>
                <w:lang w:val="en"/>
              </w:rPr>
              <w:fldChar w:fldCharType="end"/>
            </w:r>
            <w:r>
              <w:rPr>
                <w:rFonts w:asciiTheme="minorHAnsi" w:hAnsiTheme="minorHAnsi"/>
                <w:b/>
                <w:bCs/>
                <w:sz w:val="22"/>
                <w:szCs w:val="22"/>
                <w:lang w:val="en-GB"/>
              </w:rPr>
            </w:r>
          </w:p>
        </w:sdtContent>
      </w:sdt>
      <w:p>
        <w:pPr>
          <w:pStyle w:val="1238"/>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8"/>
      <w:pBdr/>
      <w:tabs>
        <w:tab w:val="clear" w:leader="none" w:pos="4536"/>
        <w:tab w:val="clear" w:leader="none" w:pos="9072"/>
        <w:tab w:val="right" w:leader="none" w:pos="9468"/>
      </w:tabs>
      <w:spacing/>
      <w:ind/>
      <w:jc w:val="both"/>
      <w:rPr>
        <w:rFonts w:asciiTheme="minorHAnsi" w:hAnsiTheme="minorHAnsi"/>
        <w:u w:val="single"/>
      </w:rPr>
    </w:pPr>
    <w:r>
      <w:rPr>
        <w:u w:val="single"/>
        <w:lang w:val="en"/>
      </w:rPr>
      <w:tab/>
    </w:r>
    <w:r>
      <w:rPr>
        <w:rFonts w:asciiTheme="minorHAnsi" w:hAnsiTheme="minorHAnsi"/>
        <w:u w:val="single"/>
      </w:rPr>
    </w:r>
  </w:p>
  <w:sdt>
    <w:sdtPr>
      <w15:appearance w15:val="boundingBox"/>
      <w:id w:val="-1566173906"/>
      <w:docPartObj>
        <w:docPartGallery w:val="Page Numbers (Bottom of Page)"/>
        <w:docPartUnique w:val="true"/>
      </w:docPartObj>
      <w:rPr>
        <w:rFonts w:asciiTheme="minorHAnsi" w:hAnsiTheme="minorHAnsi"/>
        <w:sz w:val="22"/>
        <w:szCs w:val="22"/>
      </w:rPr>
    </w:sdtPr>
    <w:sdtContent>
      <w:sdt>
        <w:sdtPr>
          <w15:appearance w15:val="boundingBox"/>
          <w:id w:val="-834064038"/>
          <w:docPartObj>
            <w:docPartGallery w:val="Page Numbers (Top of Page)"/>
            <w:docPartUnique w:val="true"/>
          </w:docPartObj>
          <w:rPr>
            <w:rFonts w:asciiTheme="minorHAnsi" w:hAnsiTheme="minorHAnsi"/>
            <w:sz w:val="22"/>
            <w:szCs w:val="22"/>
          </w:rPr>
        </w:sdtPr>
        <w:sdtContent>
          <w:sdt>
            <w:sdtPr>
              <w15:appearance w15:val="boundingBox"/>
              <w:id w:val="-1911839028"/>
              <w:docPartObj>
                <w:docPartGallery w:val="Page Numbers (Top of Page)"/>
                <w:docPartUnique w:val="true"/>
              </w:docPartObj>
              <w:rPr>
                <w:rFonts w:asciiTheme="minorHAnsi" w:hAnsiTheme="minorHAnsi"/>
                <w:sz w:val="22"/>
                <w:szCs w:val="22"/>
              </w:rPr>
            </w:sdtPr>
            <w:sdtContent>
              <w:p>
                <w:pPr>
                  <w:pStyle w:val="1238"/>
                  <w:pBdr/>
                  <w:tabs>
                    <w:tab w:val="clear" w:leader="none" w:pos="4536"/>
                    <w:tab w:val="clear" w:leader="none" w:pos="9072"/>
                    <w:tab w:val="right" w:leader="none" w:pos="9468"/>
                  </w:tabs>
                  <w:spacing/>
                  <w:ind/>
                  <w:jc w:val="right"/>
                  <w:rPr>
                    <w:rFonts w:asciiTheme="minorHAnsi" w:hAnsiTheme="minorHAnsi"/>
                    <w:b/>
                    <w:bCs/>
                    <w:sz w:val="22"/>
                    <w:szCs w:val="22"/>
                    <w:lang w:val="en-GB"/>
                  </w:rPr>
                </w:pPr>
                <w:r>
                  <w:rPr>
                    <w:rFonts w:asciiTheme="minorHAnsi" w:hAnsiTheme="minorHAnsi"/>
                    <w:sz w:val="22"/>
                    <w:szCs w:val="22"/>
                    <w:lang w:val="en"/>
                  </w:rPr>
                  <w:t xml:space="preserve">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22</w:t>
                </w:r>
                <w:r>
                  <w:rPr>
                    <w:rFonts w:asciiTheme="minorHAnsi" w:hAnsiTheme="minorHAnsi"/>
                    <w:sz w:val="22"/>
                    <w:szCs w:val="22"/>
                    <w:lang w:val="en"/>
                  </w:rPr>
                  <w:fldChar w:fldCharType="end"/>
                </w:r>
                <w:r>
                  <w:rPr>
                    <w:rFonts w:asciiTheme="minorHAnsi" w:hAnsiTheme="minorHAnsi"/>
                    <w:b/>
                    <w:bCs/>
                    <w:sz w:val="22"/>
                    <w:szCs w:val="22"/>
                    <w:lang w:val="en-GB"/>
                  </w:rPr>
                </w:r>
              </w:p>
              <w:p>
                <w:pPr>
                  <w:pStyle w:val="1238"/>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b/>
                    <w:bCs/>
                    <w:sz w:val="22"/>
                    <w:szCs w:val="22"/>
                  </w:rPr>
                  <w:t xml:space="preserve">Novembre 2024</w:t>
                </w:r>
                <w:r>
                  <w:rPr>
                    <w:rFonts w:asciiTheme="minorHAnsi" w:hAnsiTheme="minorHAnsi"/>
                    <w:sz w:val="22"/>
                    <w:szCs w:val="22"/>
                  </w:rPr>
                </w:r>
              </w:p>
            </w:sdtContent>
          </w:sdt>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8"/>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267"/>
        <w:pBdr/>
        <w:spacing/>
        <w:ind/>
        <w:rPr>
          <w:lang w:val="en-US"/>
        </w:rPr>
      </w:pPr>
      <w:r>
        <w:rPr>
          <w:rStyle w:val="1269"/>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1239"/>
            <w:rFonts w:asciiTheme="minorHAnsi" w:hAnsiTheme="minorHAnsi"/>
            <w:szCs w:val="22"/>
            <w:lang w:val="en-US"/>
          </w:rPr>
          <w:t xml:space="preserve">https://www.afd.fr/en/ressources/afd-groups-policy-prevent-and-combat-prohibited-practices-2020</w:t>
        </w:r>
      </w:hyperlink>
      <w:r/>
      <w:r>
        <w:rPr>
          <w:lang w:val="en-US"/>
        </w:rPr>
      </w:r>
    </w:p>
  </w:footnote>
  <w:footnote w:id="3">
    <w:p>
      <w:pPr>
        <w:pBdr/>
        <w:spacing/>
        <w:ind/>
        <w:rPr>
          <w:rFonts w:ascii="Calibri" w:hAnsi="Calibri"/>
          <w:sz w:val="24"/>
          <w:szCs w:val="24"/>
          <w:lang w:val="en-GB"/>
        </w:rPr>
      </w:pPr>
      <w:r>
        <w:rPr>
          <w:rStyle w:val="1269"/>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sz w:val="24"/>
          <w:szCs w:val="24"/>
          <w:lang w:val="en-GB"/>
        </w:rPr>
      </w:r>
    </w:p>
  </w:footnote>
  <w:footnote w:id="4">
    <w:p>
      <w:pPr>
        <w:pBdr/>
        <w:spacing/>
        <w:ind/>
        <w:rPr>
          <w:rFonts w:ascii="Calibri" w:hAnsi="Calibri"/>
          <w:lang w:val="en-GB"/>
        </w:rPr>
      </w:pPr>
      <w:r>
        <w:rPr>
          <w:rStyle w:val="1269"/>
          <w:rFonts w:ascii="Calibri" w:hAnsi="Calibri"/>
          <w:lang w:val="en"/>
        </w:rPr>
        <w:footnoteRef/>
      </w:r>
      <w:r>
        <w:rPr>
          <w:rFonts w:ascii="Calibri" w:hAnsi="Calibri"/>
          <w:lang w:val="en"/>
        </w:rPr>
        <w:t xml:space="preserve"> </w:t>
      </w:r>
      <w:r>
        <w:rPr>
          <w:rFonts w:ascii="Calibri" w:hAnsi="Calibri"/>
          <w:sz w:val="16"/>
          <w:lang w:val="en"/>
        </w:rPr>
        <w:t xml:space="preserve">Date and original signatures</w:t>
      </w:r>
      <w:r>
        <w:rPr>
          <w:rFonts w:ascii="Calibri" w:hAnsi="Calibri"/>
          <w:lang w:val="en-GB"/>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7"/>
      <w:pBdr/>
      <w:tabs>
        <w:tab w:val="left" w:leader="none" w:pos="142"/>
      </w:tabs>
      <w:spacing/>
      <w:ind w:left="-426"/>
      <w:rPr/>
    </w:pPr>
    <w:r>
      <w:rPr>
        <w:lang w:val="en-GB" w:eastAsia="en-GB"/>
      </w:rPr>
      <mc:AlternateContent>
        <mc:Choice Requires="wpg">
          <w:drawing>
            <wp:inline xmlns:wp="http://schemas.openxmlformats.org/drawingml/2006/wordprocessingDrawing"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r/>
                    </pic:nvPicPr>
                    <pic:blipFill>
                      <a:blip r:embed="rId1"/>
                      <a:stretch/>
                    </pic:blipFill>
                    <pic:spPr bwMode="auto">
                      <a:xfrm>
                        <a:off x="0" y="0"/>
                        <a:ext cx="1652929" cy="84483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1" o:title=""/>
              <o:lock v:ext="edit" rotation="t"/>
            </v:shape>
          </w:pict>
        </mc:Fallback>
      </mc:AlternateContent>
    </w:r>
    <w:r/>
  </w:p>
  <w:p>
    <w:pPr>
      <w:pStyle w:val="1237"/>
      <w:pBdr/>
      <w:spacing w:line="440" w:lineRule="exact"/>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7"/>
      <w:pBdr/>
      <w:spacing/>
      <w:ind w:left="-993"/>
      <w:rPr/>
    </w:pPr>
    <w:r>
      <w:rPr>
        <w:lang w:val="en-GB" w:eastAsia="en-GB"/>
      </w:rPr>
      <mc:AlternateContent>
        <mc:Choice Requires="wpg">
          <w:drawing>
            <wp:inline xmlns:wp="http://schemas.openxmlformats.org/drawingml/2006/wordprocessingDrawing"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394444" cy="122382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1" o:title=""/>
              <o:lock v:ext="edit" rotation="t"/>
            </v:shape>
          </w:pict>
        </mc:Fallback>
      </mc:AlternateContent>
    </w:r>
    <w:r/>
  </w:p>
  <w:p>
    <w:pPr>
      <w:pStyle w:val="1237"/>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7"/>
      <w:pBdr/>
      <w:spacing/>
      <w:ind/>
      <w:rPr>
        <w:rFonts w:cs="Arial" w:asciiTheme="minorHAnsi" w:hAnsiTheme="minorHAnsi"/>
        <w:sz w:val="24"/>
      </w:rPr>
    </w:pPr>
    <w:r>
      <w:rPr>
        <w:lang w:val="en-GB" w:eastAsia="en-GB"/>
      </w:rPr>
      <mc:AlternateContent>
        <mc:Choice Requires="wpg">
          <w:drawing>
            <wp:inline xmlns:wp="http://schemas.openxmlformats.org/drawingml/2006/wordprocessingDrawing"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50669" cy="8436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23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Table of contents</w:t>
    </w:r>
    <w:r>
      <w:rPr>
        <w:rFonts w:cs="Arial" w:asciiTheme="minorHAnsi" w:hAnsiTheme="minorHAnsi"/>
        <w:smallCaps/>
        <w:lang w:val="en"/>
      </w:rPr>
      <w:tab/>
    </w:r>
    <w:r>
      <w:rPr>
        <w:rFonts w:cs="Arial" w:asciiTheme="minorHAnsi" w:hAnsiTheme="minorHAnsi"/>
        <w:b/>
        <w:smallCaps/>
      </w:rPr>
    </w:r>
  </w:p>
  <w:p>
    <w:pPr>
      <w:pStyle w:val="1237"/>
      <w:pBdr/>
      <w:tabs>
        <w:tab w:val="clear" w:leader="none" w:pos="4536"/>
        <w:tab w:val="clear" w:leader="none" w:pos="9072"/>
        <w:tab w:val="right" w:leader="none" w:pos="9781"/>
      </w:tabs>
      <w:spacing w:line="240" w:lineRule="auto"/>
      <w:ind/>
      <w:rPr>
        <w:rFonts w:cs="Arial" w:asciiTheme="minorHAnsi" w:hAnsiTheme="minorHAnsi"/>
        <w:sz w:val="6"/>
        <w:u w:val="single"/>
      </w:rPr>
    </w:pPr>
    <w:r>
      <w:rPr>
        <w:u w:val="single"/>
        <w:lang w:val="en"/>
      </w:rPr>
      <w:tab/>
    </w:r>
    <w:r>
      <w:rPr>
        <w:rFonts w:cs="Arial" w:asciiTheme="minorHAnsi" w:hAnsiTheme="minorHAnsi"/>
        <w:sz w:val="6"/>
        <w:u w:val="single"/>
      </w:rPr>
    </w:r>
  </w:p>
  <w:p>
    <w:pPr>
      <w:pStyle w:val="1237"/>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7"/>
      <w:pBdr/>
      <w:spacing/>
      <w:ind/>
      <w:rPr>
        <w:rFonts w:cs="Arial" w:asciiTheme="minorHAnsi" w:hAnsiTheme="minorHAnsi"/>
        <w:sz w:val="24"/>
      </w:rPr>
    </w:pPr>
    <w:r>
      <w:rPr>
        <w:lang w:val="en-GB" w:eastAsia="en-GB"/>
      </w:rPr>
      <mc:AlternateContent>
        <mc:Choice Requires="wpg">
          <w:drawing>
            <wp:inline xmlns:wp="http://schemas.openxmlformats.org/drawingml/2006/wordprocessingDrawing"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23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 – Special conditions/commitment procedure</w:t>
    </w:r>
    <w:r>
      <w:rPr>
        <w:rFonts w:cs="Arial" w:asciiTheme="minorHAnsi" w:hAnsiTheme="minorHAnsi"/>
        <w:smallCaps/>
        <w:lang w:val="en"/>
      </w:rPr>
      <w:tab/>
    </w:r>
    <w:r>
      <w:rPr>
        <w:rFonts w:cs="Arial" w:asciiTheme="minorHAnsi" w:hAnsiTheme="minorHAnsi"/>
        <w:b/>
        <w:smallCaps/>
      </w:rPr>
    </w:r>
  </w:p>
  <w:p>
    <w:pPr>
      <w:pStyle w:val="1237"/>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237"/>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37"/>
      <w:pBdr/>
      <w:spacing/>
      <w:ind/>
      <w:rPr>
        <w:rFonts w:cs="Arial" w:asciiTheme="minorHAnsi" w:hAnsiTheme="minorHAnsi"/>
        <w:sz w:val="24"/>
      </w:rPr>
    </w:pPr>
    <w:r>
      <w:rPr>
        <w:lang w:val="en-GB" w:eastAsia="en-GB"/>
      </w:rPr>
      <mc:AlternateContent>
        <mc:Choice Requires="wpg">
          <w:drawing>
            <wp:inline xmlns:wp="http://schemas.openxmlformats.org/drawingml/2006/wordprocessingDrawing"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237"/>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bCs/>
        <w:smallCaps/>
        <w:lang w:val="en"/>
      </w:rPr>
      <w:t xml:space="preserve">Procurement contract</w:t>
    </w:r>
    <w:r>
      <w:rPr>
        <w:rFonts w:cs="Arial" w:asciiTheme="minorHAnsi" w:hAnsiTheme="minorHAnsi"/>
        <w:b/>
        <w:bCs/>
        <w:smallCaps/>
        <w:lang w:val="en"/>
      </w:rPr>
      <w:tab/>
      <w:t xml:space="preserve">ANNEXES</w:t>
    </w:r>
    <w:r>
      <w:rPr>
        <w:rFonts w:cs="Arial" w:asciiTheme="minorHAnsi" w:hAnsiTheme="minorHAnsi"/>
        <w:b/>
        <w:smallCaps/>
      </w:rPr>
    </w:r>
  </w:p>
  <w:p>
    <w:pPr>
      <w:pStyle w:val="1237"/>
      <w:pBdr/>
      <w:tabs>
        <w:tab w:val="clear" w:leader="none" w:pos="4536"/>
        <w:tab w:val="clear" w:leader="none" w:pos="9072"/>
        <w:tab w:val="right" w:leader="none" w:pos="9781"/>
      </w:tabs>
      <w:spacing w:line="240" w:lineRule="auto"/>
      <w:ind/>
      <w:rPr>
        <w:rFonts w:cs="Arial" w:asciiTheme="minorHAnsi" w:hAnsiTheme="minorHAnsi"/>
        <w:sz w:val="18"/>
        <w:u w:val="single"/>
      </w:rPr>
    </w:pPr>
    <w:r>
      <w:rPr>
        <w:u w:val="single"/>
        <w:lang w:val="en"/>
      </w:rPr>
      <w:tab/>
    </w:r>
    <w:r>
      <w:rPr>
        <w:rFonts w:cs="Arial" w:asciiTheme="minorHAnsi" w:hAnsiTheme="minorHAnsi"/>
        <w:sz w:val="18"/>
        <w:u w:val="single"/>
      </w:rPr>
    </w:r>
  </w:p>
  <w:p>
    <w:pPr>
      <w:pStyle w:val="1237"/>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styleLink w:val="1296"/>
    <w:lvl w:ilvl="0">
      <w:isLgl w:val="false"/>
      <w:lvlJc w:val="left"/>
      <w:lvlText w:val="▪"/>
      <w:numFmt w:val="bullet"/>
      <w:pPr>
        <w:pBdr/>
        <w:spacing/>
        <w:ind w:hanging="360" w:left="1428"/>
      </w:pPr>
      <w:pStyle w:val="1296"/>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1">
      <w:isLgl w:val="false"/>
      <w:lvlJc w:val="left"/>
      <w:lvlText w:val="o"/>
      <w:numFmt w:val="bullet"/>
      <w:pPr>
        <w:pBdr/>
        <w:spacing/>
        <w:ind w:hanging="360" w:left="2148"/>
      </w:pPr>
      <w:rPr>
        <w:rFonts w:ascii="Wingdings" w:hAnsi="Wingdings" w:eastAsia="Wingdings" w:cs="Wingdings"/>
        <w:b w:val="0"/>
        <w:bCs w:val="0"/>
        <w:i w:val="0"/>
        <w:iCs w:val="0"/>
        <w:caps w:val="0"/>
        <w:smallCaps w:val="0"/>
        <w:strike w:val="0"/>
        <w:spacing w:val="0"/>
        <w:position w:val="0"/>
        <w:highlight w:val="none"/>
        <w:vertAlign w:val="baseline"/>
      </w:rPr>
      <w:start w:val="1"/>
      <w:suff w:val="tab"/>
    </w:lvl>
    <w:lvl w:ilvl="2">
      <w:isLgl w:val="false"/>
      <w:lvlJc w:val="left"/>
      <w:lvlText w:val="▪"/>
      <w:numFmt w:val="bullet"/>
      <w:pPr>
        <w:pBdr/>
        <w:spacing/>
        <w:ind w:hanging="360" w:left="2868"/>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3">
      <w:isLgl w:val="false"/>
      <w:lvlJc w:val="left"/>
      <w:lvlText w:val="•"/>
      <w:numFmt w:val="bullet"/>
      <w:pPr>
        <w:pBdr/>
        <w:spacing/>
        <w:ind w:hanging="360" w:left="3588"/>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4">
      <w:isLgl w:val="false"/>
      <w:lvlJc w:val="left"/>
      <w:lvlText w:val="o"/>
      <w:numFmt w:val="bullet"/>
      <w:pPr>
        <w:pBdr/>
        <w:spacing/>
        <w:ind w:hanging="360" w:left="4308"/>
      </w:pPr>
      <w:rPr>
        <w:rFonts w:ascii="Wingdings" w:hAnsi="Wingdings" w:eastAsia="Wingdings" w:cs="Wingdings"/>
        <w:b w:val="0"/>
        <w:bCs w:val="0"/>
        <w:i w:val="0"/>
        <w:iCs w:val="0"/>
        <w:caps w:val="0"/>
        <w:smallCaps w:val="0"/>
        <w:strike w:val="0"/>
        <w:spacing w:val="0"/>
        <w:position w:val="0"/>
        <w:highlight w:val="none"/>
        <w:vertAlign w:val="baseline"/>
      </w:rPr>
      <w:start w:val="1"/>
      <w:suff w:val="tab"/>
    </w:lvl>
    <w:lvl w:ilvl="5">
      <w:isLgl w:val="false"/>
      <w:lvlJc w:val="left"/>
      <w:lvlText w:val="▪"/>
      <w:numFmt w:val="bullet"/>
      <w:pPr>
        <w:pBdr/>
        <w:spacing/>
        <w:ind w:hanging="360" w:left="5028"/>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6">
      <w:isLgl w:val="false"/>
      <w:lvlJc w:val="left"/>
      <w:lvlText w:val="•"/>
      <w:numFmt w:val="bullet"/>
      <w:pPr>
        <w:pBdr/>
        <w:spacing/>
        <w:ind w:hanging="360" w:left="5748"/>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7">
      <w:isLgl w:val="false"/>
      <w:lvlJc w:val="left"/>
      <w:lvlText w:val="o"/>
      <w:numFmt w:val="bullet"/>
      <w:pPr>
        <w:pBdr/>
        <w:spacing/>
        <w:ind w:hanging="360" w:left="6468"/>
      </w:pPr>
      <w:rPr>
        <w:rFonts w:ascii="Wingdings" w:hAnsi="Wingdings" w:eastAsia="Wingdings" w:cs="Wingdings"/>
        <w:b w:val="0"/>
        <w:bCs w:val="0"/>
        <w:i w:val="0"/>
        <w:iCs w:val="0"/>
        <w:caps w:val="0"/>
        <w:smallCaps w:val="0"/>
        <w:strike w:val="0"/>
        <w:spacing w:val="0"/>
        <w:position w:val="0"/>
        <w:highlight w:val="none"/>
        <w:vertAlign w:val="baseline"/>
      </w:rPr>
      <w:start w:val="1"/>
      <w:suff w:val="tab"/>
    </w:lvl>
    <w:lvl w:ilvl="8">
      <w:isLgl w:val="false"/>
      <w:lvlJc w:val="left"/>
      <w:lvlText w:val="▪"/>
      <w:numFmt w:val="bullet"/>
      <w:pPr>
        <w:pBdr/>
        <w:spacing/>
        <w:ind w:hanging="360" w:left="7188"/>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abstractNum>
  <w:abstractNum w:abstractNumId="1">
    <w:styleLink w:val="1300"/>
    <w:lvl w:ilvl="0">
      <w:isLgl w:val="false"/>
      <w:lvlJc w:val="left"/>
      <w:lvlText w:val="·"/>
      <w:numFmt w:val="bullet"/>
      <w:pPr>
        <w:pBdr/>
        <w:spacing/>
        <w:ind w:hanging="360" w:left="1281"/>
      </w:pPr>
      <w:pStyle w:val="1300"/>
      <w:rPr>
        <w:rFonts w:ascii="Symbol" w:hAnsi="Symbol" w:eastAsia="Symbol" w:cs="Symbol"/>
        <w:b w:val="0"/>
        <w:bCs w:val="0"/>
        <w:i w:val="0"/>
        <w:iCs w:val="0"/>
        <w:caps w:val="0"/>
        <w:smallCaps w:val="0"/>
        <w:strike w:val="0"/>
        <w:spacing w:val="0"/>
        <w:position w:val="0"/>
        <w:highlight w:val="none"/>
        <w:vertAlign w:val="baseline"/>
      </w:rPr>
      <w:start w:val="1"/>
      <w:suff w:val="tab"/>
    </w:lvl>
    <w:lvl w:ilvl="1">
      <w:isLgl w:val="false"/>
      <w:lvlJc w:val="left"/>
      <w:lvlText w:val="o"/>
      <w:numFmt w:val="bullet"/>
      <w:pPr>
        <w:pBdr/>
        <w:spacing/>
        <w:ind w:hanging="360" w:left="2001"/>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2">
      <w:isLgl w:val="false"/>
      <w:lvlJc w:val="left"/>
      <w:lvlText w:val="▪"/>
      <w:numFmt w:val="bullet"/>
      <w:pPr>
        <w:pBdr/>
        <w:spacing/>
        <w:ind w:hanging="360" w:left="2721"/>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3">
      <w:isLgl w:val="false"/>
      <w:lvlJc w:val="left"/>
      <w:lvlText w:val="·"/>
      <w:numFmt w:val="bullet"/>
      <w:pPr>
        <w:pBdr/>
        <w:spacing/>
        <w:ind w:hanging="360" w:left="3441"/>
      </w:pPr>
      <w:rPr>
        <w:rFonts w:ascii="Symbol" w:hAnsi="Symbol" w:eastAsia="Symbol" w:cs="Symbol"/>
        <w:b w:val="0"/>
        <w:bCs w:val="0"/>
        <w:i w:val="0"/>
        <w:iCs w:val="0"/>
        <w:caps w:val="0"/>
        <w:smallCaps w:val="0"/>
        <w:strike w:val="0"/>
        <w:spacing w:val="0"/>
        <w:position w:val="0"/>
        <w:highlight w:val="none"/>
        <w:vertAlign w:val="baseline"/>
      </w:rPr>
      <w:start w:val="1"/>
      <w:suff w:val="tab"/>
    </w:lvl>
    <w:lvl w:ilvl="4">
      <w:isLgl w:val="false"/>
      <w:lvlJc w:val="left"/>
      <w:lvlText w:val="o"/>
      <w:numFmt w:val="bullet"/>
      <w:pPr>
        <w:pBdr/>
        <w:spacing/>
        <w:ind w:hanging="360" w:left="4161"/>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5">
      <w:isLgl w:val="false"/>
      <w:lvlJc w:val="left"/>
      <w:lvlText w:val="▪"/>
      <w:numFmt w:val="bullet"/>
      <w:pPr>
        <w:pBdr/>
        <w:spacing/>
        <w:ind w:hanging="360" w:left="4881"/>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6">
      <w:isLgl w:val="false"/>
      <w:lvlJc w:val="left"/>
      <w:lvlText w:val="·"/>
      <w:numFmt w:val="bullet"/>
      <w:pPr>
        <w:pBdr/>
        <w:spacing/>
        <w:ind w:hanging="360" w:left="5601"/>
      </w:pPr>
      <w:rPr>
        <w:rFonts w:ascii="Symbol" w:hAnsi="Symbol" w:eastAsia="Symbol" w:cs="Symbol"/>
        <w:b w:val="0"/>
        <w:bCs w:val="0"/>
        <w:i w:val="0"/>
        <w:iCs w:val="0"/>
        <w:caps w:val="0"/>
        <w:smallCaps w:val="0"/>
        <w:strike w:val="0"/>
        <w:spacing w:val="0"/>
        <w:position w:val="0"/>
        <w:highlight w:val="none"/>
        <w:vertAlign w:val="baseline"/>
      </w:rPr>
      <w:start w:val="1"/>
      <w:suff w:val="tab"/>
    </w:lvl>
    <w:lvl w:ilvl="7">
      <w:isLgl w:val="false"/>
      <w:lvlJc w:val="left"/>
      <w:lvlText w:val="o"/>
      <w:numFmt w:val="bullet"/>
      <w:pPr>
        <w:pBdr/>
        <w:spacing/>
        <w:ind w:hanging="360" w:left="6321"/>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8">
      <w:isLgl w:val="false"/>
      <w:lvlJc w:val="left"/>
      <w:lvlText w:val="▪"/>
      <w:numFmt w:val="bullet"/>
      <w:pPr>
        <w:pBdr/>
        <w:spacing/>
        <w:ind w:hanging="360" w:left="7041"/>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abstractNum>
  <w:abstractNum w:abstractNumId="2">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1706"/>
      </w:pPr>
      <w:rPr>
        <w:rFonts w:hint="default" w:ascii="Symbol" w:hAnsi="Symbol"/>
      </w:rPr>
      <w:start w:val="1"/>
      <w:suff w:val="tab"/>
    </w:lvl>
    <w:lvl w:ilvl="1">
      <w:isLgl w:val="false"/>
      <w:lvlJc w:val="left"/>
      <w:lvlText w:val="o"/>
      <w:numFmt w:val="bullet"/>
      <w:pPr>
        <w:pBdr/>
        <w:spacing/>
        <w:ind w:hanging="360" w:left="2426"/>
      </w:pPr>
      <w:rPr>
        <w:rFonts w:hint="default" w:ascii="Courier New" w:hAnsi="Courier New" w:cs="Courier New"/>
      </w:rPr>
      <w:start w:val="1"/>
      <w:suff w:val="tab"/>
    </w:lvl>
    <w:lvl w:ilvl="2">
      <w:isLgl w:val="false"/>
      <w:lvlJc w:val="left"/>
      <w:lvlText w:val=""/>
      <w:numFmt w:val="bullet"/>
      <w:pPr>
        <w:pBdr/>
        <w:spacing/>
        <w:ind w:hanging="360" w:left="3146"/>
      </w:pPr>
      <w:rPr>
        <w:rFonts w:hint="default" w:ascii="Wingdings" w:hAnsi="Wingdings"/>
      </w:rPr>
      <w:start w:val="1"/>
      <w:suff w:val="tab"/>
    </w:lvl>
    <w:lvl w:ilvl="3">
      <w:isLgl w:val="false"/>
      <w:lvlJc w:val="left"/>
      <w:lvlText w:val=""/>
      <w:numFmt w:val="bullet"/>
      <w:pPr>
        <w:pBdr/>
        <w:spacing/>
        <w:ind w:hanging="360" w:left="3866"/>
      </w:pPr>
      <w:rPr>
        <w:rFonts w:hint="default" w:ascii="Symbol" w:hAnsi="Symbol"/>
      </w:rPr>
      <w:start w:val="1"/>
      <w:suff w:val="tab"/>
    </w:lvl>
    <w:lvl w:ilvl="4">
      <w:isLgl w:val="false"/>
      <w:lvlJc w:val="left"/>
      <w:lvlText w:val="o"/>
      <w:numFmt w:val="bullet"/>
      <w:pPr>
        <w:pBdr/>
        <w:spacing/>
        <w:ind w:hanging="360" w:left="4586"/>
      </w:pPr>
      <w:rPr>
        <w:rFonts w:hint="default" w:ascii="Courier New" w:hAnsi="Courier New" w:cs="Courier New"/>
      </w:rPr>
      <w:start w:val="1"/>
      <w:suff w:val="tab"/>
    </w:lvl>
    <w:lvl w:ilvl="5">
      <w:isLgl w:val="false"/>
      <w:lvlJc w:val="left"/>
      <w:lvlText w:val=""/>
      <w:numFmt w:val="bullet"/>
      <w:pPr>
        <w:pBdr/>
        <w:spacing/>
        <w:ind w:hanging="360" w:left="5306"/>
      </w:pPr>
      <w:rPr>
        <w:rFonts w:hint="default" w:ascii="Wingdings" w:hAnsi="Wingdings"/>
      </w:rPr>
      <w:start w:val="1"/>
      <w:suff w:val="tab"/>
    </w:lvl>
    <w:lvl w:ilvl="6">
      <w:isLgl w:val="false"/>
      <w:lvlJc w:val="left"/>
      <w:lvlText w:val=""/>
      <w:numFmt w:val="bullet"/>
      <w:pPr>
        <w:pBdr/>
        <w:spacing/>
        <w:ind w:hanging="360" w:left="6026"/>
      </w:pPr>
      <w:rPr>
        <w:rFonts w:hint="default" w:ascii="Symbol" w:hAnsi="Symbol"/>
      </w:rPr>
      <w:start w:val="1"/>
      <w:suff w:val="tab"/>
    </w:lvl>
    <w:lvl w:ilvl="7">
      <w:isLgl w:val="false"/>
      <w:lvlJc w:val="left"/>
      <w:lvlText w:val="o"/>
      <w:numFmt w:val="bullet"/>
      <w:pPr>
        <w:pBdr/>
        <w:spacing/>
        <w:ind w:hanging="360" w:left="6746"/>
      </w:pPr>
      <w:rPr>
        <w:rFonts w:hint="default" w:ascii="Courier New" w:hAnsi="Courier New" w:cs="Courier New"/>
      </w:rPr>
      <w:start w:val="1"/>
      <w:suff w:val="tab"/>
    </w:lvl>
    <w:lvl w:ilvl="8">
      <w:isLgl w:val="false"/>
      <w:lvlJc w:val="left"/>
      <w:lvlText w:val=""/>
      <w:numFmt w:val="bullet"/>
      <w:pPr>
        <w:pBdr/>
        <w:spacing/>
        <w:ind w:hanging="360" w:left="7466"/>
      </w:pPr>
      <w:rPr>
        <w:rFonts w:hint="default" w:ascii="Wingdings" w:hAnsi="Wingdings"/>
      </w:rPr>
      <w:start w:val="1"/>
      <w:suff w:val="tab"/>
    </w:lvl>
  </w:abstractNum>
  <w:abstractNum w:abstractNumId="4">
    <w:lvl w:ilvl="0">
      <w:isLgl w:val="false"/>
      <w:lvlJc w:val="left"/>
      <w:lvlText w:val=""/>
      <w:numFmt w:val="bullet"/>
      <w:pPr>
        <w:pBdr/>
        <w:tabs>
          <w:tab w:val="num" w:leader="none" w:pos="922"/>
        </w:tabs>
        <w:spacing/>
        <w:ind w:hanging="360" w:left="922"/>
      </w:pPr>
      <w:pStyle w:val="1251"/>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5">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val="堁Ʌ鲰堁Ʌ(Ạ䑆ɅẠ䑆Ʌ労㙭翾.翾"/>
      <w:numFmt w:val="bullet"/>
      <w:pPr>
        <w:pBdr/>
        <w:spacing/>
        <w:ind/>
      </w:pPr>
      <w:rPr/>
      <w:start w:val="0"/>
      <w:suff w:val="tab"/>
    </w:lvl>
    <w:lvl w:ilvl="2">
      <w:isLgl w:val="false"/>
      <w:lvlJc w:val="left"/>
      <w:lvlText w:val="堁Ʌ鲰堁Ʌ(Ạ䑆ɅẠ䑆Ʌ労㙭翾.翾"/>
      <w:numFmt w:val="bullet"/>
      <w:pPr>
        <w:pBdr/>
        <w:spacing/>
        <w:ind/>
      </w:pPr>
      <w:rPr/>
      <w:start w:val="0"/>
      <w:suff w:val="tab"/>
    </w:lvl>
    <w:lvl w:ilvl="3">
      <w:isLgl w:val="false"/>
      <w:lvlJc w:val="left"/>
      <w:lvlText w:val="堁Ʌ鲰堁Ʌ(Ạ䑆ɅẠ䑆Ʌ労㙭翾.翾"/>
      <w:numFmt w:val="bullet"/>
      <w:pPr>
        <w:pBdr/>
        <w:spacing/>
        <w:ind/>
      </w:pPr>
      <w:rPr/>
      <w:start w:val="0"/>
      <w:suff w:val="tab"/>
    </w:lvl>
    <w:lvl w:ilvl="4">
      <w:isLgl w:val="false"/>
      <w:lvlJc w:val="left"/>
      <w:lvlText w:val="堁Ʌ鲰堁Ʌ(Ạ䑆ɅẠ䑆Ʌ労㙭翾.翾"/>
      <w:numFmt w:val="bullet"/>
      <w:pPr>
        <w:pBdr/>
        <w:spacing/>
        <w:ind/>
      </w:pPr>
      <w:rPr/>
      <w:start w:val="0"/>
      <w:suff w:val="tab"/>
    </w:lvl>
    <w:lvl w:ilvl="5">
      <w:isLgl w:val="false"/>
      <w:lvlJc w:val="left"/>
      <w:lvlText w:val="堁Ʌ鲰堁Ʌ(Ạ䑆ɅẠ䑆Ʌ労㙭翾.翾"/>
      <w:numFmt w:val="bullet"/>
      <w:pPr>
        <w:pBdr/>
        <w:spacing/>
        <w:ind/>
      </w:pPr>
      <w:rPr/>
      <w:start w:val="0"/>
      <w:suff w:val="tab"/>
    </w:lvl>
    <w:lvl w:ilvl="6">
      <w:isLgl w:val="false"/>
      <w:lvlJc w:val="left"/>
      <w:lvlText w:val="堁Ʌ鲰堁Ʌ(Ạ䑆ɅẠ䑆Ʌ労㙭翾.翾"/>
      <w:numFmt w:val="bullet"/>
      <w:pPr>
        <w:pBdr/>
        <w:spacing/>
        <w:ind/>
      </w:pPr>
      <w:rPr/>
      <w:start w:val="0"/>
      <w:suff w:val="tab"/>
    </w:lvl>
    <w:lvl w:ilvl="7">
      <w:isLgl w:val="false"/>
      <w:lvlJc w:val="left"/>
      <w:lvlText w:val="堁Ʌ鲰堁Ʌ(Ạ䑆ɅẠ䑆Ʌ労㙭翾.翾"/>
      <w:numFmt w:val="bullet"/>
      <w:pPr>
        <w:pBdr/>
        <w:spacing/>
        <w:ind/>
      </w:pPr>
      <w:rPr/>
      <w:start w:val="0"/>
      <w:suff w:val="tab"/>
    </w:lvl>
    <w:lvl w:ilvl="8">
      <w:isLgl w:val="false"/>
      <w:lvlJc w:val="left"/>
      <w:lvlText w:val="堁Ʌ鲰堁Ʌ(Ạ䑆ɅẠ䑆Ʌ労㙭翾.翾"/>
      <w:numFmt w:val="bullet"/>
      <w:pPr>
        <w:pBdr/>
        <w:spacing/>
        <w:ind/>
      </w:pPr>
      <w:rPr/>
      <w:start w:val="0"/>
      <w:suff w:val="tab"/>
    </w:lvl>
  </w:abstractNum>
  <w:abstractNum w:abstractNumId="7">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8">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0">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1">
    <w:styleLink w:val="1299"/>
    <w:lvl w:ilvl="0">
      <w:isLgl w:val="false"/>
      <w:lvlJc w:val="left"/>
      <w:lvlText w:val="·"/>
      <w:numFmt w:val="bullet"/>
      <w:pPr>
        <w:pBdr/>
        <w:spacing/>
        <w:ind w:hanging="360" w:left="1287"/>
      </w:pPr>
      <w:pStyle w:val="1299"/>
      <w:rPr>
        <w:rFonts w:ascii="Symbol" w:hAnsi="Symbol" w:eastAsia="Symbol" w:cs="Symbol"/>
        <w:b w:val="0"/>
        <w:bCs w:val="0"/>
        <w:i w:val="0"/>
        <w:iCs w:val="0"/>
        <w:caps w:val="0"/>
        <w:smallCaps w:val="0"/>
        <w:strike w:val="0"/>
        <w:spacing w:val="0"/>
        <w:position w:val="0"/>
        <w:highlight w:val="none"/>
        <w:vertAlign w:val="baseline"/>
      </w:rPr>
      <w:start w:val="1"/>
      <w:suff w:val="tab"/>
    </w:lvl>
    <w:lvl w:ilvl="1">
      <w:isLgl w:val="false"/>
      <w:lvlJc w:val="left"/>
      <w:lvlText w:val="o"/>
      <w:numFmt w:val="bullet"/>
      <w:pPr>
        <w:pBdr/>
        <w:spacing/>
        <w:ind w:hanging="360" w:left="200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2">
      <w:isLgl w:val="false"/>
      <w:lvlJc w:val="left"/>
      <w:lvlText w:val="▪"/>
      <w:numFmt w:val="bullet"/>
      <w:pPr>
        <w:pBdr/>
        <w:spacing/>
        <w:ind w:hanging="360" w:left="272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3">
      <w:isLgl w:val="false"/>
      <w:lvlJc w:val="left"/>
      <w:lvlText w:val="·"/>
      <w:numFmt w:val="bullet"/>
      <w:pPr>
        <w:pBdr/>
        <w:spacing/>
        <w:ind w:hanging="360" w:left="3447"/>
      </w:pPr>
      <w:rPr>
        <w:rFonts w:ascii="Symbol" w:hAnsi="Symbol" w:eastAsia="Symbol" w:cs="Symbol"/>
        <w:b w:val="0"/>
        <w:bCs w:val="0"/>
        <w:i w:val="0"/>
        <w:iCs w:val="0"/>
        <w:caps w:val="0"/>
        <w:smallCaps w:val="0"/>
        <w:strike w:val="0"/>
        <w:spacing w:val="0"/>
        <w:position w:val="0"/>
        <w:highlight w:val="none"/>
        <w:vertAlign w:val="baseline"/>
      </w:rPr>
      <w:start w:val="1"/>
      <w:suff w:val="tab"/>
    </w:lvl>
    <w:lvl w:ilvl="4">
      <w:isLgl w:val="false"/>
      <w:lvlJc w:val="left"/>
      <w:lvlText w:val="o"/>
      <w:numFmt w:val="bullet"/>
      <w:pPr>
        <w:pBdr/>
        <w:spacing/>
        <w:ind w:hanging="360" w:left="416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5">
      <w:isLgl w:val="false"/>
      <w:lvlJc w:val="left"/>
      <w:lvlText w:val="▪"/>
      <w:numFmt w:val="bullet"/>
      <w:pPr>
        <w:pBdr/>
        <w:spacing/>
        <w:ind w:hanging="360" w:left="488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6">
      <w:isLgl w:val="false"/>
      <w:lvlJc w:val="left"/>
      <w:lvlText w:val="·"/>
      <w:numFmt w:val="bullet"/>
      <w:pPr>
        <w:pBdr/>
        <w:spacing/>
        <w:ind w:hanging="360" w:left="5607"/>
      </w:pPr>
      <w:rPr>
        <w:rFonts w:ascii="Symbol" w:hAnsi="Symbol" w:eastAsia="Symbol" w:cs="Symbol"/>
        <w:b w:val="0"/>
        <w:bCs w:val="0"/>
        <w:i w:val="0"/>
        <w:iCs w:val="0"/>
        <w:caps w:val="0"/>
        <w:smallCaps w:val="0"/>
        <w:strike w:val="0"/>
        <w:spacing w:val="0"/>
        <w:position w:val="0"/>
        <w:highlight w:val="none"/>
        <w:vertAlign w:val="baseline"/>
      </w:rPr>
      <w:start w:val="1"/>
      <w:suff w:val="tab"/>
    </w:lvl>
    <w:lvl w:ilvl="7">
      <w:isLgl w:val="false"/>
      <w:lvlJc w:val="left"/>
      <w:lvlText w:val="o"/>
      <w:numFmt w:val="bullet"/>
      <w:pPr>
        <w:pBdr/>
        <w:spacing/>
        <w:ind w:hanging="360" w:left="632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8">
      <w:isLgl w:val="false"/>
      <w:lvlJc w:val="left"/>
      <w:lvlText w:val="▪"/>
      <w:numFmt w:val="bullet"/>
      <w:pPr>
        <w:pBdr/>
        <w:spacing/>
        <w:ind w:hanging="360" w:left="704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abstractNum>
  <w:abstractNum w:abstractNumId="12">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13">
    <w:lvl w:ilvl="0">
      <w:isLgl w:val="false"/>
      <w:lvlJc w:val="left"/>
      <w:lvlText w:val=""/>
      <w:numFmt w:val="bullet"/>
      <w:pPr>
        <w:pBdr/>
        <w:tabs>
          <w:tab w:val="num" w:leader="none" w:pos="360"/>
        </w:tabs>
        <w:spacing/>
        <w:ind w:hanging="360" w:left="360"/>
      </w:pPr>
      <w:pStyle w:val="1249"/>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5">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6">
    <w:lvl w:ilvl="0">
      <w:isLgl w:val="false"/>
      <w:lvlJc w:val="left"/>
      <w:lvlText w:val="-"/>
      <w:numFmt w:val="bullet"/>
      <w:pPr>
        <w:pBdr/>
        <w:spacing/>
        <w:ind w:hanging="360" w:left="1287"/>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7">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8">
    <w:styleLink w:val="1292"/>
    <w:lvl w:ilvl="0">
      <w:isLgl w:val="false"/>
      <w:lvlJc w:val="left"/>
      <w:lvlText w:val="%1."/>
      <w:numFmt w:val="decimal"/>
      <w:pPr>
        <w:pBdr/>
        <w:tabs>
          <w:tab w:val="left" w:leader="none" w:pos="1276"/>
        </w:tabs>
        <w:spacing/>
        <w:ind w:hanging="357" w:left="357"/>
      </w:pPr>
      <w:pStyle w:val="1292"/>
      <w:rPr>
        <w:rFonts w:hAnsi="Arial Unicode MS"/>
        <w:b/>
        <w:bCs/>
        <w:caps w:val="0"/>
        <w:smallCaps w:val="0"/>
        <w:strike w:val="0"/>
        <w:spacing w:val="0"/>
        <w:position w:val="0"/>
        <w:highlight w:val="none"/>
        <w:vertAlign w:val="baseline"/>
      </w:rPr>
      <w:start w:val="1"/>
      <w:suff w:val="tab"/>
    </w:lvl>
    <w:lvl w:ilvl="1">
      <w:isLgl w:val="false"/>
      <w:lvlJc w:val="left"/>
      <w:lvlText w:val="%2."/>
      <w:numFmt w:val="decimal"/>
      <w:pPr>
        <w:pBdr/>
        <w:tabs>
          <w:tab w:val="left" w:leader="none" w:pos="1276"/>
        </w:tabs>
        <w:spacing/>
        <w:ind w:hanging="357" w:left="357"/>
      </w:pPr>
      <w:rPr>
        <w:rFonts w:hAnsi="Arial Unicode MS"/>
        <w:b/>
        <w:bCs/>
        <w:caps w:val="0"/>
        <w:smallCaps w:val="0"/>
        <w:strike w:val="0"/>
        <w:spacing w:val="0"/>
        <w:position w:val="0"/>
        <w:highlight w:val="none"/>
        <w:vertAlign w:val="baseline"/>
      </w:rPr>
      <w:start w:val="1"/>
      <w:suff w:val="tab"/>
    </w:lvl>
    <w:lvl w:ilvl="2">
      <w:isLgl w:val="false"/>
      <w:lvlJc w:val="left"/>
      <w:lvlText w:val="%2.%3."/>
      <w:numFmt w:val="decimal"/>
      <w:pPr>
        <w:pBdr/>
        <w:tabs>
          <w:tab w:val="left" w:leader="none" w:pos="1276"/>
        </w:tabs>
        <w:spacing/>
        <w:ind w:hanging="357" w:left="357"/>
      </w:pPr>
      <w:rPr>
        <w:rFonts w:hAnsi="Arial Unicode MS"/>
        <w:b/>
        <w:bCs/>
        <w:caps w:val="0"/>
        <w:smallCaps w:val="0"/>
        <w:strike w:val="0"/>
        <w:spacing w:val="0"/>
        <w:position w:val="0"/>
        <w:highlight w:val="none"/>
        <w:vertAlign w:val="baseline"/>
      </w:rPr>
      <w:start w:val="1"/>
      <w:suff w:val="nothing"/>
    </w:lvl>
    <w:lvl w:ilvl="3">
      <w:isLgl w:val="false"/>
      <w:lvlJc w:val="left"/>
      <w:lvlText w:val="%2.%3.%4)"/>
      <w:numFmt w:val="lowerLetter"/>
      <w:pPr>
        <w:pBdr/>
        <w:tabs>
          <w:tab w:val="left" w:leader="none" w:pos="1276"/>
        </w:tabs>
        <w:spacing/>
        <w:ind w:hanging="357" w:left="357"/>
      </w:pPr>
      <w:rPr>
        <w:rFonts w:hAnsi="Arial Unicode MS"/>
        <w:b/>
        <w:bCs/>
        <w:caps w:val="0"/>
        <w:smallCaps w:val="0"/>
        <w:strike w:val="0"/>
        <w:spacing w:val="0"/>
        <w:position w:val="0"/>
        <w:highlight w:val="none"/>
        <w:vertAlign w:val="baseline"/>
      </w:rPr>
      <w:start w:val="1"/>
      <w:suff w:val="nothing"/>
    </w:lvl>
    <w:lvl w:ilvl="4">
      <w:isLgl w:val="false"/>
      <w:lvlJc w:val="left"/>
      <w:lvlText w:val="%2.%3.%4)(%5)"/>
      <w:numFmt w:val="lowerRoman"/>
      <w:pPr>
        <w:pBdr/>
        <w:tabs>
          <w:tab w:val="left" w:leader="none" w:pos="1276"/>
        </w:tabs>
        <w:spacing/>
        <w:ind w:hanging="357" w:left="357"/>
      </w:pPr>
      <w:rPr>
        <w:rFonts w:hAnsi="Arial Unicode MS"/>
        <w:b/>
        <w:bCs/>
        <w:caps w:val="0"/>
        <w:smallCaps w:val="0"/>
        <w:strike w:val="0"/>
        <w:spacing w:val="0"/>
        <w:position w:val="0"/>
        <w:highlight w:val="none"/>
        <w:vertAlign w:val="baseline"/>
      </w:rPr>
      <w:start w:val="1"/>
      <w:suff w:val="nothing"/>
    </w:lvl>
    <w:lvl w:ilvl="5">
      <w:isLgl w:val="false"/>
      <w:lvlJc w:val="left"/>
      <w:lvlText w:val="%2.%3.%4)(%5)(%6)"/>
      <w:numFmt w:val="decimal"/>
      <w:pPr>
        <w:pBdr/>
        <w:tabs>
          <w:tab w:val="left" w:leader="none" w:pos="1276"/>
        </w:tabs>
        <w:spacing/>
        <w:ind w:hanging="357" w:left="357"/>
      </w:pPr>
      <w:rPr>
        <w:rFonts w:hAnsi="Arial Unicode MS"/>
        <w:b/>
        <w:bCs/>
        <w:caps w:val="0"/>
        <w:smallCaps w:val="0"/>
        <w:strike w:val="0"/>
        <w:spacing w:val="0"/>
        <w:position w:val="0"/>
        <w:highlight w:val="none"/>
        <w:vertAlign w:val="baseline"/>
      </w:rPr>
      <w:start w:val="1"/>
      <w:suff w:val="nothing"/>
    </w:lvl>
    <w:lvl w:ilvl="6">
      <w:isLgl w:val="false"/>
      <w:lvlJc w:val="left"/>
      <w:lvlText w:val="%2.%3.%4)(%5)(%6)%7."/>
      <w:numFmt w:val="decimal"/>
      <w:pPr>
        <w:pBdr/>
        <w:tabs>
          <w:tab w:val="left" w:leader="none" w:pos="1276"/>
        </w:tabs>
        <w:spacing/>
        <w:ind w:hanging="357" w:left="357"/>
      </w:pPr>
      <w:rPr>
        <w:rFonts w:hAnsi="Arial Unicode MS"/>
        <w:b/>
        <w:bCs/>
        <w:caps w:val="0"/>
        <w:smallCaps w:val="0"/>
        <w:strike w:val="0"/>
        <w:spacing w:val="0"/>
        <w:position w:val="0"/>
        <w:highlight w:val="none"/>
        <w:vertAlign w:val="baseline"/>
      </w:rPr>
      <w:start w:val="1"/>
      <w:suff w:val="nothing"/>
    </w:lvl>
    <w:lvl w:ilvl="7">
      <w:isLgl w:val="false"/>
      <w:lvlJc w:val="left"/>
      <w:lvlText w:val="%2.%3.%4)(%5)(%6)%7.%8."/>
      <w:numFmt w:val="decimal"/>
      <w:pPr>
        <w:pBdr/>
        <w:tabs>
          <w:tab w:val="left" w:leader="none" w:pos="1276"/>
        </w:tabs>
        <w:spacing/>
        <w:ind w:hanging="357" w:left="357"/>
      </w:pPr>
      <w:rPr>
        <w:rFonts w:hAnsi="Arial Unicode MS"/>
        <w:b/>
        <w:bCs/>
        <w:caps w:val="0"/>
        <w:smallCaps w:val="0"/>
        <w:strike w:val="0"/>
        <w:spacing w:val="0"/>
        <w:position w:val="0"/>
        <w:highlight w:val="none"/>
        <w:vertAlign w:val="baseline"/>
      </w:rPr>
      <w:start w:val="1"/>
      <w:suff w:val="nothing"/>
    </w:lvl>
    <w:lvl w:ilvl="8">
      <w:isLgl w:val="false"/>
      <w:lvlJc w:val="left"/>
      <w:lvlText w:val="%2.%3.%4)(%5)(%6)%7.%8.%9."/>
      <w:numFmt w:val="decimal"/>
      <w:pPr>
        <w:pBdr/>
        <w:tabs>
          <w:tab w:val="left" w:leader="none" w:pos="1276"/>
        </w:tabs>
        <w:spacing/>
        <w:ind w:hanging="357" w:left="357"/>
      </w:pPr>
      <w:rPr>
        <w:rFonts w:hAnsi="Arial Unicode MS"/>
        <w:b/>
        <w:bCs/>
        <w:caps w:val="0"/>
        <w:smallCaps w:val="0"/>
        <w:strike w:val="0"/>
        <w:spacing w:val="0"/>
        <w:position w:val="0"/>
        <w:highlight w:val="none"/>
        <w:vertAlign w:val="baseline"/>
      </w:rPr>
      <w:start w:val="1"/>
      <w:suff w:val="nothing"/>
    </w:lvl>
  </w:abstractNum>
  <w:abstractNum w:abstractNumId="19">
    <w:lvl w:ilvl="0">
      <w:isLgl w:val="false"/>
      <w:lvlJc w:val="left"/>
      <w:lvlText w:val=""/>
      <w:numFmt w:val="bullet"/>
      <w:pPr>
        <w:pBdr/>
        <w:tabs>
          <w:tab w:val="num" w:leader="none" w:pos="360"/>
        </w:tabs>
        <w:spacing/>
        <w:ind w:firstLine="0" w:left="0"/>
      </w:pPr>
      <w:pStyle w:val="1260"/>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0">
    <w:lvl w:ilvl="0">
      <w:isLgl w:val="false"/>
      <w:lvlJc w:val="left"/>
      <w:lvlText w:val="•"/>
      <w:numFmt w:val="bullet"/>
      <w:pPr>
        <w:pBdr/>
        <w:tabs>
          <w:tab w:val="num" w:leader="none" w:pos="360"/>
        </w:tabs>
        <w:spacing/>
        <w:ind w:firstLine="0" w:left="0"/>
      </w:pPr>
      <w:pStyle w:val="1240"/>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val="㟃翾㙬翾࿐護ØẠ䑆ɅØྨ護Ø"/>
      <w:numFmt w:val="bullet"/>
      <w:pPr>
        <w:pBdr/>
        <w:spacing/>
        <w:ind/>
      </w:pPr>
      <w:rPr/>
      <w:start w:val="0"/>
      <w:suff w:val="tab"/>
    </w:lvl>
    <w:lvl w:ilvl="2">
      <w:isLgl w:val="false"/>
      <w:lvlJc w:val="left"/>
      <w:lvlText w:val="㟃翾㙬翾࿐護ØẠ䑆ɅØྨ護Ø"/>
      <w:numFmt w:val="bullet"/>
      <w:pPr>
        <w:pBdr/>
        <w:spacing/>
        <w:ind/>
      </w:pPr>
      <w:rPr/>
      <w:start w:val="0"/>
      <w:suff w:val="tab"/>
    </w:lvl>
    <w:lvl w:ilvl="3">
      <w:isLgl w:val="false"/>
      <w:lvlJc w:val="left"/>
      <w:lvlText w:val="㟃翾㙬翾࿐護ØẠ䑆ɅØྨ護Ø"/>
      <w:numFmt w:val="bullet"/>
      <w:pPr>
        <w:pBdr/>
        <w:spacing/>
        <w:ind/>
      </w:pPr>
      <w:rPr/>
      <w:start w:val="0"/>
      <w:suff w:val="tab"/>
    </w:lvl>
    <w:lvl w:ilvl="4">
      <w:isLgl w:val="false"/>
      <w:lvlJc w:val="left"/>
      <w:lvlText w:val="㟃翾㙬翾࿐護ØẠ䑆ɅØྨ護Ø"/>
      <w:numFmt w:val="bullet"/>
      <w:pPr>
        <w:pBdr/>
        <w:spacing/>
        <w:ind/>
      </w:pPr>
      <w:rPr/>
      <w:start w:val="0"/>
      <w:suff w:val="tab"/>
    </w:lvl>
    <w:lvl w:ilvl="5">
      <w:isLgl w:val="false"/>
      <w:lvlJc w:val="left"/>
      <w:lvlText w:val="㟃翾㙬翾࿐護ØẠ䑆ɅØྨ護Ø"/>
      <w:numFmt w:val="bullet"/>
      <w:pPr>
        <w:pBdr/>
        <w:spacing/>
        <w:ind/>
      </w:pPr>
      <w:rPr/>
      <w:start w:val="0"/>
      <w:suff w:val="tab"/>
    </w:lvl>
    <w:lvl w:ilvl="6">
      <w:isLgl w:val="false"/>
      <w:lvlJc w:val="left"/>
      <w:lvlText w:val="㟃翾㙬翾࿐護ØẠ䑆ɅØྨ護Ø"/>
      <w:numFmt w:val="bullet"/>
      <w:pPr>
        <w:pBdr/>
        <w:spacing/>
        <w:ind/>
      </w:pPr>
      <w:rPr/>
      <w:start w:val="0"/>
      <w:suff w:val="tab"/>
    </w:lvl>
    <w:lvl w:ilvl="7">
      <w:isLgl w:val="false"/>
      <w:lvlJc w:val="left"/>
      <w:lvlText w:val="㟃翾㙬翾࿐護ØẠ䑆ɅØྨ護Ø"/>
      <w:numFmt w:val="bullet"/>
      <w:pPr>
        <w:pBdr/>
        <w:spacing/>
        <w:ind/>
      </w:pPr>
      <w:rPr/>
      <w:start w:val="0"/>
      <w:suff w:val="tab"/>
    </w:lvl>
    <w:lvl w:ilvl="8">
      <w:isLgl w:val="false"/>
      <w:lvlJc w:val="left"/>
      <w:lvlText w:val="㟃翾㙬翾࿐護ØẠ䑆ɅØྨ護Ø"/>
      <w:numFmt w:val="bullet"/>
      <w:pPr>
        <w:pBdr/>
        <w:spacing/>
        <w:ind/>
      </w:pPr>
      <w:rPr/>
      <w:start w:val="0"/>
      <w:suff w:val="tab"/>
    </w:lvl>
  </w:abstractNum>
  <w:abstractNum w:abstractNumId="2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numStyleLink w:val="1300"/>
    <w:lvl w:ilvl="0">
      <w:isLgl w:val="false"/>
      <w:lvlJc w:val="left"/>
      <w:lvlText/>
      <w:numFmt w:val="bullet"/>
      <w:pPr>
        <w:pBdr/>
        <w:spacing/>
        <w:ind/>
      </w:pPr>
      <w:rPr/>
      <w:start w:val="0"/>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3">
    <w:lvl w:ilvl="0">
      <w:isLgl w:val="false"/>
      <w:lvlJc w:val="left"/>
      <w:lvlText w:val="ARTICLE %1:"/>
      <w:numFmt w:val="decimal"/>
      <w:pPr>
        <w:pBdr/>
        <w:spacing/>
        <w:ind w:hanging="360" w:left="6173"/>
      </w:pPr>
      <w:rPr>
        <w:rFonts w:hint="default"/>
        <w:u w:val="single"/>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24">
    <w:styleLink w:val="1291"/>
    <w:lvl w:ilvl="0">
      <w:isLgl w:val="false"/>
      <w:lvlJc w:val="left"/>
      <w:lvlText w:val="▪"/>
      <w:numFmt w:val="bullet"/>
      <w:pPr>
        <w:pBdr/>
        <w:spacing/>
        <w:ind w:hanging="432" w:left="1701"/>
      </w:pPr>
      <w:pStyle w:val="1291"/>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1">
      <w:isLgl w:val="false"/>
      <w:lvlJc w:val="left"/>
      <w:lvlText w:val="-"/>
      <w:numFmt w:val="bullet"/>
      <w:pPr>
        <w:pBdr/>
        <w:tabs>
          <w:tab w:val="left" w:leader="none" w:pos="1701"/>
        </w:tabs>
        <w:spacing/>
        <w:ind w:hanging="360" w:left="2147"/>
      </w:pPr>
      <w:rPr>
        <w:rFonts w:ascii="Wingdings" w:hAnsi="Wingdings" w:eastAsia="Wingdings" w:cs="Wingdings"/>
        <w:b w:val="0"/>
        <w:bCs w:val="0"/>
        <w:i w:val="0"/>
        <w:iCs w:val="0"/>
        <w:caps w:val="0"/>
        <w:smallCaps w:val="0"/>
        <w:strike w:val="0"/>
        <w:spacing w:val="0"/>
        <w:position w:val="0"/>
        <w:highlight w:val="none"/>
        <w:vertAlign w:val="baseline"/>
      </w:rPr>
      <w:start w:val="1"/>
      <w:suff w:val="tab"/>
    </w:lvl>
    <w:lvl w:ilvl="2">
      <w:isLgl w:val="false"/>
      <w:lvlJc w:val="left"/>
      <w:lvlText w:val="■"/>
      <w:numFmt w:val="bullet"/>
      <w:pPr>
        <w:pBdr/>
        <w:tabs>
          <w:tab w:val="left" w:leader="none" w:pos="1701"/>
        </w:tabs>
        <w:spacing/>
        <w:ind w:hanging="705" w:left="3212"/>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3">
      <w:isLgl w:val="false"/>
      <w:lvlJc w:val="left"/>
      <w:lvlText w:val="•"/>
      <w:numFmt w:val="bullet"/>
      <w:pPr>
        <w:pBdr/>
        <w:tabs>
          <w:tab w:val="left" w:leader="none" w:pos="1701"/>
        </w:tabs>
        <w:spacing/>
        <w:ind w:hanging="360" w:left="358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4">
      <w:isLgl w:val="false"/>
      <w:lvlJc w:val="left"/>
      <w:lvlText w:val="o"/>
      <w:numFmt w:val="bullet"/>
      <w:pPr>
        <w:pBdr/>
        <w:tabs>
          <w:tab w:val="left" w:leader="none" w:pos="1701"/>
        </w:tabs>
        <w:spacing/>
        <w:ind w:hanging="360" w:left="4307"/>
      </w:pPr>
      <w:rPr>
        <w:rFonts w:ascii="Wingdings" w:hAnsi="Wingdings" w:eastAsia="Wingdings" w:cs="Wingdings"/>
        <w:b w:val="0"/>
        <w:bCs w:val="0"/>
        <w:i w:val="0"/>
        <w:iCs w:val="0"/>
        <w:caps w:val="0"/>
        <w:smallCaps w:val="0"/>
        <w:strike w:val="0"/>
        <w:spacing w:val="0"/>
        <w:position w:val="0"/>
        <w:highlight w:val="none"/>
        <w:vertAlign w:val="baseline"/>
      </w:rPr>
      <w:start w:val="1"/>
      <w:suff w:val="tab"/>
    </w:lvl>
    <w:lvl w:ilvl="5">
      <w:isLgl w:val="false"/>
      <w:lvlJc w:val="left"/>
      <w:lvlText w:val="▪"/>
      <w:numFmt w:val="bullet"/>
      <w:pPr>
        <w:pBdr/>
        <w:tabs>
          <w:tab w:val="left" w:leader="none" w:pos="1701"/>
        </w:tabs>
        <w:spacing/>
        <w:ind w:hanging="360" w:left="502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6">
      <w:isLgl w:val="false"/>
      <w:lvlJc w:val="left"/>
      <w:lvlText w:val="•"/>
      <w:numFmt w:val="bullet"/>
      <w:pPr>
        <w:pBdr/>
        <w:tabs>
          <w:tab w:val="left" w:leader="none" w:pos="1701"/>
        </w:tabs>
        <w:spacing/>
        <w:ind w:hanging="360" w:left="574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lvl w:ilvl="7">
      <w:isLgl w:val="false"/>
      <w:lvlJc w:val="left"/>
      <w:lvlText w:val="o"/>
      <w:numFmt w:val="bullet"/>
      <w:pPr>
        <w:pBdr/>
        <w:tabs>
          <w:tab w:val="left" w:leader="none" w:pos="1701"/>
        </w:tabs>
        <w:spacing/>
        <w:ind w:hanging="360" w:left="6467"/>
      </w:pPr>
      <w:rPr>
        <w:rFonts w:ascii="Wingdings" w:hAnsi="Wingdings" w:eastAsia="Wingdings" w:cs="Wingdings"/>
        <w:b w:val="0"/>
        <w:bCs w:val="0"/>
        <w:i w:val="0"/>
        <w:iCs w:val="0"/>
        <w:caps w:val="0"/>
        <w:smallCaps w:val="0"/>
        <w:strike w:val="0"/>
        <w:spacing w:val="0"/>
        <w:position w:val="0"/>
        <w:highlight w:val="none"/>
        <w:vertAlign w:val="baseline"/>
      </w:rPr>
      <w:start w:val="1"/>
      <w:suff w:val="tab"/>
    </w:lvl>
    <w:lvl w:ilvl="8">
      <w:isLgl w:val="false"/>
      <w:lvlJc w:val="left"/>
      <w:lvlText w:val="▪"/>
      <w:numFmt w:val="bullet"/>
      <w:pPr>
        <w:pBdr/>
        <w:tabs>
          <w:tab w:val="left" w:leader="none" w:pos="1701"/>
        </w:tabs>
        <w:spacing/>
        <w:ind w:hanging="360" w:left="7187"/>
      </w:pPr>
      <w:rPr>
        <w:rFonts w:ascii="Arial Unicode MS" w:hAnsi="Arial Unicode MS" w:eastAsia="Arial Unicode MS" w:cs="Arial Unicode MS"/>
        <w:b w:val="0"/>
        <w:bCs w:val="0"/>
        <w:i w:val="0"/>
        <w:iCs w:val="0"/>
        <w:caps w:val="0"/>
        <w:smallCaps w:val="0"/>
        <w:strike w:val="0"/>
        <w:spacing w:val="0"/>
        <w:position w:val="0"/>
        <w:highlight w:val="none"/>
        <w:vertAlign w:val="baseline"/>
      </w:rPr>
      <w:start w:val="1"/>
      <w:suff w:val="tab"/>
    </w:lvl>
  </w:abstractNum>
  <w:abstractNum w:abstractNumId="25">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6">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7">
    <w:numStyleLink w:val="1296"/>
    <w:lvl w:ilvl="0">
      <w:isLgl w:val="false"/>
      <w:lvlJc w:val="left"/>
      <w:lvlText/>
      <w:numFmt w:val="bullet"/>
      <w:pPr>
        <w:pBdr/>
        <w:spacing/>
        <w:ind/>
      </w:pPr>
      <w:rPr/>
      <w:start w:val="0"/>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num w:numId="1">
    <w:abstractNumId w:val="20"/>
  </w:num>
  <w:num w:numId="2">
    <w:abstractNumId w:val="6"/>
  </w:num>
  <w:num w:numId="3">
    <w:abstractNumId w:val="13"/>
  </w:num>
  <w:num w:numId="4">
    <w:abstractNumId w:val="4"/>
  </w:num>
  <w:num w:numId="5">
    <w:abstractNumId w:val="19"/>
  </w:num>
  <w:num w:numId="6">
    <w:abstractNumId w:val="23"/>
  </w:num>
  <w:num w:numId="7">
    <w:abstractNumId w:val="17"/>
  </w:num>
  <w:num w:numId="8">
    <w:abstractNumId w:val="12"/>
  </w:num>
  <w:num w:numId="9">
    <w:abstractNumId w:val="15"/>
  </w:num>
  <w:num w:numId="10">
    <w:abstractNumId w:val="14"/>
  </w:num>
  <w:num w:numId="11">
    <w:abstractNumId w:val="5"/>
  </w:num>
  <w:num w:numId="12">
    <w:abstractNumId w:val="8"/>
  </w:num>
  <w:num w:numId="13">
    <w:abstractNumId w:val="10"/>
  </w:num>
  <w:num w:numId="14">
    <w:abstractNumId w:val="25"/>
  </w:num>
  <w:num w:numId="15">
    <w:abstractNumId w:val="21"/>
  </w:num>
  <w:num w:numId="16">
    <w:abstractNumId w:val="2"/>
  </w:num>
  <w:num w:numId="17">
    <w:abstractNumId w:val="9"/>
  </w:num>
  <w:num w:numId="18">
    <w:abstractNumId w:val="16"/>
  </w:num>
  <w:num w:numId="19">
    <w:abstractNumId w:val="26"/>
  </w:num>
  <w:num w:numId="20">
    <w:abstractNumId w:val="3"/>
  </w:num>
  <w:num w:numId="21">
    <w:abstractNumId w:val="26"/>
  </w:num>
  <w:num w:numId="22">
    <w:abstractNumId w:val="7"/>
  </w:num>
  <w:num w:numId="23">
    <w:abstractNumId w:val="24"/>
  </w:num>
  <w:num w:numId="24">
    <w:abstractNumId w:val="18"/>
  </w:num>
  <w:num w:numId="25">
    <w:abstractNumId w:val="0"/>
  </w:num>
  <w:num w:numId="26">
    <w:abstractNumId w:val="27"/>
  </w:num>
  <w:num w:numId="27">
    <w:abstractNumId w:val="11"/>
  </w:num>
  <w:num w:numId="28">
    <w:abstractNumId w:val="1"/>
  </w:num>
  <w:num w:numId="29">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milo Brinez">
    <w15:presenceInfo w15:providerId="Windows Live" w15:userId="2218cb05782eb8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061"/>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61"/>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61"/>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61"/>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61"/>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61"/>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61"/>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6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6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6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6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6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6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61"/>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61"/>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61"/>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61"/>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61"/>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61"/>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61"/>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61"/>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61"/>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61"/>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61"/>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61"/>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6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6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6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61"/>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 Accent 1"/>
    <w:basedOn w:val="1061"/>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6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61"/>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6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61"/>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61"/>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 Accent 1"/>
    <w:basedOn w:val="1061"/>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61"/>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61"/>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61"/>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61"/>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61"/>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6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6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6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6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6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61"/>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61"/>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61"/>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61"/>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61"/>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61"/>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61"/>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61"/>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61"/>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61"/>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61"/>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61"/>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61"/>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61"/>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61"/>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61"/>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61"/>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61"/>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61"/>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1061"/>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61"/>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61"/>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61"/>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61"/>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61"/>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 Accent 1"/>
    <w:basedOn w:val="1061"/>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61"/>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61"/>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61"/>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61"/>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61"/>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 Accent 1"/>
    <w:basedOn w:val="1061"/>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61"/>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61"/>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61"/>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61"/>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61"/>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paragraph" w:styleId="1050" w:default="1">
    <w:name w:val="Normal"/>
    <w:qFormat/>
    <w:pPr>
      <w:pBdr/>
      <w:spacing w:line="300" w:lineRule="atLeast"/>
      <w:ind/>
    </w:pPr>
    <w:rPr>
      <w:rFonts w:ascii="Arial" w:hAnsi="Arial"/>
    </w:rPr>
  </w:style>
  <w:style w:type="paragraph" w:styleId="1051">
    <w:name w:val="Heading 1"/>
    <w:basedOn w:val="1050"/>
    <w:next w:val="1050"/>
    <w:link w:val="1201"/>
    <w:qFormat/>
    <w:pPr>
      <w:keepNext w:val="true"/>
      <w:pBdr/>
      <w:spacing w:line="440" w:lineRule="exact"/>
      <w:ind/>
      <w:outlineLvl w:val="0"/>
    </w:pPr>
    <w:rPr>
      <w:rFonts w:cs="Arial"/>
      <w:b/>
      <w:bCs/>
      <w:caps/>
    </w:rPr>
  </w:style>
  <w:style w:type="paragraph" w:styleId="1052">
    <w:name w:val="Heading 2"/>
    <w:basedOn w:val="1050"/>
    <w:next w:val="1050"/>
    <w:link w:val="1280"/>
    <w:qFormat/>
    <w:pPr>
      <w:keepNext w:val="true"/>
      <w:widowControl w:val="false"/>
      <w:pBdr/>
      <w:spacing/>
      <w:ind/>
      <w:outlineLvl w:val="1"/>
    </w:pPr>
    <w:rPr>
      <w:rFonts w:cs="Arial"/>
      <w:b/>
      <w:bCs/>
      <w:sz w:val="18"/>
    </w:rPr>
  </w:style>
  <w:style w:type="paragraph" w:styleId="1053">
    <w:name w:val="Heading 3"/>
    <w:basedOn w:val="1050"/>
    <w:next w:val="1050"/>
    <w:link w:val="1203"/>
    <w:qFormat/>
    <w:pPr>
      <w:keepNext w:val="true"/>
      <w:pBdr/>
      <w:spacing w:after="60" w:before="240"/>
      <w:ind/>
      <w:outlineLvl w:val="2"/>
    </w:pPr>
    <w:rPr>
      <w:rFonts w:ascii="Helvetica" w:hAnsi="Helvetica"/>
      <w:sz w:val="24"/>
    </w:rPr>
  </w:style>
  <w:style w:type="paragraph" w:styleId="1054">
    <w:name w:val="Heading 4"/>
    <w:basedOn w:val="1050"/>
    <w:next w:val="1050"/>
    <w:link w:val="1204"/>
    <w:qFormat/>
    <w:pPr>
      <w:keepNext w:val="true"/>
      <w:widowControl w:val="false"/>
      <w:pBdr/>
      <w:spacing/>
      <w:ind/>
      <w:jc w:val="both"/>
      <w:outlineLvl w:val="3"/>
    </w:pPr>
    <w:rPr>
      <w:rFonts w:cs="Arial"/>
      <w:b/>
      <w:bCs/>
      <w:i/>
      <w:iCs/>
      <w:color w:val="0000ff"/>
    </w:rPr>
  </w:style>
  <w:style w:type="paragraph" w:styleId="1055">
    <w:name w:val="Heading 5"/>
    <w:basedOn w:val="1050"/>
    <w:next w:val="1050"/>
    <w:link w:val="1205"/>
    <w:qFormat/>
    <w:pPr>
      <w:keepNext w:val="true"/>
      <w:widowControl w:val="false"/>
      <w:pBdr/>
      <w:spacing/>
      <w:ind/>
      <w:jc w:val="both"/>
      <w:outlineLvl w:val="4"/>
    </w:pPr>
    <w:rPr>
      <w:rFonts w:cs="Arial"/>
      <w:b/>
      <w:bCs/>
    </w:rPr>
  </w:style>
  <w:style w:type="paragraph" w:styleId="1056">
    <w:name w:val="Heading 6"/>
    <w:basedOn w:val="1050"/>
    <w:next w:val="1050"/>
    <w:link w:val="1206"/>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57">
    <w:name w:val="Heading 7"/>
    <w:basedOn w:val="1050"/>
    <w:next w:val="1050"/>
    <w:link w:val="1207"/>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58">
    <w:name w:val="Heading 8"/>
    <w:basedOn w:val="1050"/>
    <w:next w:val="1050"/>
    <w:link w:val="1208"/>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paragraph" w:styleId="1059">
    <w:name w:val="Heading 9"/>
    <w:basedOn w:val="1050"/>
    <w:next w:val="1050"/>
    <w:link w:val="1209"/>
    <w:uiPriority w:val="9"/>
    <w:unhideWhenUsed/>
    <w:qFormat/>
    <w:pPr>
      <w:keepNext w:val="true"/>
      <w:keepLines w:val="true"/>
      <w:pBdr/>
      <w:spacing/>
      <w:ind/>
      <w:outlineLvl w:val="8"/>
    </w:pPr>
    <w:rPr>
      <w:rFonts w:eastAsia="Arial" w:cs="Arial"/>
      <w:i/>
      <w:iCs/>
      <w:color w:val="272727" w:themeColor="text1" w:themeTint="D8"/>
    </w:rPr>
  </w:style>
  <w:style w:type="character" w:styleId="1060" w:default="1">
    <w:name w:val="Default Paragraph Font"/>
    <w:uiPriority w:val="1"/>
    <w:semiHidden/>
    <w:unhideWhenUsed/>
    <w:pPr>
      <w:pBdr/>
      <w:spacing/>
      <w:ind/>
    </w:pPr>
  </w:style>
  <w:style w:type="table" w:styleId="1061"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62" w:default="1">
    <w:name w:val="No List"/>
    <w:uiPriority w:val="99"/>
    <w:semiHidden/>
    <w:unhideWhenUsed/>
    <w:pPr>
      <w:pBdr/>
      <w:spacing/>
      <w:ind/>
    </w:pPr>
  </w:style>
  <w:style w:type="table" w:styleId="1063">
    <w:name w:val="Grid Table Light"/>
    <w:basedOn w:val="1061"/>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4">
    <w:name w:val="Grid Table 1 Light Accent 1"/>
    <w:basedOn w:val="1061"/>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5">
    <w:name w:val="Grid Table 1 Light Accent 2"/>
    <w:basedOn w:val="1061"/>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6">
    <w:name w:val="Grid Table 1 Light Accent 3"/>
    <w:basedOn w:val="1061"/>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7">
    <w:name w:val="Grid Table 1 Light Accent 4"/>
    <w:basedOn w:val="1061"/>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8">
    <w:name w:val="Grid Table 1 Light Accent 5"/>
    <w:basedOn w:val="1061"/>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9">
    <w:name w:val="Grid Table 1 Light Accent 6"/>
    <w:basedOn w:val="1061"/>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0">
    <w:name w:val="Grid Table 2 Accent 1"/>
    <w:basedOn w:val="1061"/>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1">
    <w:name w:val="Grid Table 2 Accent 2"/>
    <w:basedOn w:val="1061"/>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2">
    <w:name w:val="Grid Table 2 Accent 3"/>
    <w:basedOn w:val="1061"/>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3">
    <w:name w:val="Grid Table 2 Accent 4"/>
    <w:basedOn w:val="1061"/>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4">
    <w:name w:val="Grid Table 2 Accent 5"/>
    <w:basedOn w:val="1061"/>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5">
    <w:name w:val="Grid Table 2 Accent 6"/>
    <w:basedOn w:val="1061"/>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6">
    <w:name w:val="Grid Table 3 Accent 1"/>
    <w:basedOn w:val="1061"/>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7">
    <w:name w:val="Grid Table 3 Accent 2"/>
    <w:basedOn w:val="1061"/>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8">
    <w:name w:val="Grid Table 3 Accent 3"/>
    <w:basedOn w:val="1061"/>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9">
    <w:name w:val="Grid Table 3 Accent 4"/>
    <w:basedOn w:val="1061"/>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0">
    <w:name w:val="Grid Table 3 Accent 5"/>
    <w:basedOn w:val="1061"/>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1">
    <w:name w:val="Grid Table 3 Accent 6"/>
    <w:basedOn w:val="1061"/>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2">
    <w:name w:val="Grid Table 4 Accent 1"/>
    <w:basedOn w:val="1061"/>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3">
    <w:name w:val="Grid Table 4 Accent 2"/>
    <w:basedOn w:val="1061"/>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4">
    <w:name w:val="Grid Table 4 Accent 3"/>
    <w:basedOn w:val="1061"/>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5">
    <w:name w:val="Grid Table 4 Accent 4"/>
    <w:basedOn w:val="1061"/>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6">
    <w:name w:val="Grid Table 4 Accent 5"/>
    <w:basedOn w:val="1061"/>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7">
    <w:name w:val="Grid Table 4 Accent 6"/>
    <w:basedOn w:val="1061"/>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8">
    <w:name w:val="Grid Table 5 Dark Accent 2"/>
    <w:basedOn w:val="106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9">
    <w:name w:val="Grid Table 5 Dark Accent 3"/>
    <w:basedOn w:val="106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0">
    <w:name w:val="Grid Table 5 Dark Accent 5"/>
    <w:basedOn w:val="106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1">
    <w:name w:val="Grid Table 5 Dark Accent 6"/>
    <w:basedOn w:val="106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2">
    <w:name w:val="Grid Table 6 Colorful Accent 1"/>
    <w:basedOn w:val="1061"/>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3">
    <w:name w:val="Grid Table 6 Colorful Accent 2"/>
    <w:basedOn w:val="1061"/>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4">
    <w:name w:val="Grid Table 6 Colorful Accent 3"/>
    <w:basedOn w:val="1061"/>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5">
    <w:name w:val="Grid Table 6 Colorful Accent 4"/>
    <w:basedOn w:val="1061"/>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6">
    <w:name w:val="Grid Table 6 Colorful Accent 5"/>
    <w:basedOn w:val="1061"/>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7">
    <w:name w:val="Grid Table 6 Colorful Accent 6"/>
    <w:basedOn w:val="1061"/>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8">
    <w:name w:val="Grid Table 7 Colorful Accent 1"/>
    <w:basedOn w:val="1061"/>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9">
    <w:name w:val="Grid Table 7 Colorful Accent 2"/>
    <w:basedOn w:val="1061"/>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0">
    <w:name w:val="Grid Table 7 Colorful Accent 3"/>
    <w:basedOn w:val="1061"/>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1">
    <w:name w:val="Grid Table 7 Colorful Accent 4"/>
    <w:basedOn w:val="1061"/>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2">
    <w:name w:val="Grid Table 7 Colorful Accent 5"/>
    <w:basedOn w:val="1061"/>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3">
    <w:name w:val="Grid Table 7 Colorful Accent 6"/>
    <w:basedOn w:val="1061"/>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4">
    <w:name w:val="List Table 1 Light Accent 1"/>
    <w:basedOn w:val="1061"/>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5">
    <w:name w:val="List Table 1 Light Accent 2"/>
    <w:basedOn w:val="1061"/>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6">
    <w:name w:val="List Table 1 Light Accent 3"/>
    <w:basedOn w:val="1061"/>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7">
    <w:name w:val="List Table 1 Light Accent 4"/>
    <w:basedOn w:val="1061"/>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8">
    <w:name w:val="List Table 1 Light Accent 5"/>
    <w:basedOn w:val="1061"/>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9">
    <w:name w:val="List Table 1 Light Accent 6"/>
    <w:basedOn w:val="1061"/>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0">
    <w:name w:val="List Table 2 Accent 1"/>
    <w:basedOn w:val="1061"/>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1">
    <w:name w:val="List Table 2 Accent 2"/>
    <w:basedOn w:val="1061"/>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2">
    <w:name w:val="List Table 2 Accent 3"/>
    <w:basedOn w:val="1061"/>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3">
    <w:name w:val="List Table 2 Accent 4"/>
    <w:basedOn w:val="1061"/>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name w:val="List Table 2 Accent 5"/>
    <w:basedOn w:val="1061"/>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5">
    <w:name w:val="List Table 2 Accent 6"/>
    <w:basedOn w:val="1061"/>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6">
    <w:name w:val="List Table 3 Accent 1"/>
    <w:basedOn w:val="1061"/>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7">
    <w:name w:val="List Table 3 Accent 2"/>
    <w:basedOn w:val="1061"/>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8">
    <w:name w:val="List Table 3 Accent 3"/>
    <w:basedOn w:val="1061"/>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9">
    <w:name w:val="List Table 3 Accent 4"/>
    <w:basedOn w:val="1061"/>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0">
    <w:name w:val="List Table 3 Accent 5"/>
    <w:basedOn w:val="1061"/>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1">
    <w:name w:val="List Table 3 Accent 6"/>
    <w:basedOn w:val="1061"/>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name w:val="List Table 4 Accent 1"/>
    <w:basedOn w:val="1061"/>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name w:val="List Table 4 Accent 2"/>
    <w:basedOn w:val="1061"/>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name w:val="List Table 4 Accent 3"/>
    <w:basedOn w:val="1061"/>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name w:val="List Table 4 Accent 4"/>
    <w:basedOn w:val="1061"/>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name w:val="List Table 4 Accent 5"/>
    <w:basedOn w:val="1061"/>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name w:val="List Table 4 Accent 6"/>
    <w:basedOn w:val="1061"/>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name w:val="List Table 5 Dark Accent 1"/>
    <w:basedOn w:val="1061"/>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name w:val="List Table 5 Dark Accent 2"/>
    <w:basedOn w:val="1061"/>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name w:val="List Table 5 Dark Accent 3"/>
    <w:basedOn w:val="1061"/>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name w:val="List Table 5 Dark Accent 4"/>
    <w:basedOn w:val="1061"/>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name w:val="List Table 5 Dark Accent 5"/>
    <w:basedOn w:val="1061"/>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name w:val="List Table 5 Dark Accent 6"/>
    <w:basedOn w:val="1061"/>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name w:val="List Table 6 Colorful Accent 1"/>
    <w:basedOn w:val="1061"/>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name w:val="List Table 6 Colorful Accent 2"/>
    <w:basedOn w:val="1061"/>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name w:val="List Table 6 Colorful Accent 3"/>
    <w:basedOn w:val="1061"/>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name w:val="List Table 6 Colorful Accent 4"/>
    <w:basedOn w:val="1061"/>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name w:val="List Table 6 Colorful Accent 5"/>
    <w:basedOn w:val="1061"/>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name w:val="List Table 6 Colorful Accent 6"/>
    <w:basedOn w:val="1061"/>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name w:val="List Table 7 Colorful Accent 1"/>
    <w:basedOn w:val="1061"/>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name w:val="List Table 7 Colorful Accent 2"/>
    <w:basedOn w:val="1061"/>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name w:val="List Table 7 Colorful Accent 3"/>
    <w:basedOn w:val="1061"/>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name w:val="List Table 7 Colorful Accent 4"/>
    <w:basedOn w:val="1061"/>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name w:val="List Table 7 Colorful Accent 5"/>
    <w:basedOn w:val="1061"/>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name w:val="List Table 7 Colorful Accent 6"/>
    <w:basedOn w:val="1061"/>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146" w:customStyle="1">
    <w:name w:val="Heading 1 Char"/>
    <w:basedOn w:val="1060"/>
    <w:uiPriority w:val="9"/>
    <w:pPr>
      <w:pBdr/>
      <w:spacing/>
      <w:ind/>
    </w:pPr>
    <w:rPr>
      <w:rFonts w:ascii="Arial" w:hAnsi="Arial" w:eastAsia="Arial" w:cs="Arial"/>
      <w:color w:val="365f91" w:themeColor="accent1" w:themeShade="BF"/>
      <w:sz w:val="40"/>
      <w:szCs w:val="40"/>
    </w:rPr>
  </w:style>
  <w:style w:type="character" w:styleId="1147" w:customStyle="1">
    <w:name w:val="Heading 3 Char"/>
    <w:basedOn w:val="1060"/>
    <w:uiPriority w:val="9"/>
    <w:pPr>
      <w:pBdr/>
      <w:spacing/>
      <w:ind/>
    </w:pPr>
    <w:rPr>
      <w:rFonts w:ascii="Arial" w:hAnsi="Arial" w:eastAsia="Arial" w:cs="Arial"/>
      <w:color w:val="365f91" w:themeColor="accent1" w:themeShade="BF"/>
      <w:sz w:val="28"/>
      <w:szCs w:val="28"/>
    </w:rPr>
  </w:style>
  <w:style w:type="character" w:styleId="1148" w:customStyle="1">
    <w:name w:val="Heading 4 Char"/>
    <w:basedOn w:val="1060"/>
    <w:uiPriority w:val="9"/>
    <w:pPr>
      <w:pBdr/>
      <w:spacing/>
      <w:ind/>
    </w:pPr>
    <w:rPr>
      <w:rFonts w:ascii="Arial" w:hAnsi="Arial" w:eastAsia="Arial" w:cs="Arial"/>
      <w:i/>
      <w:iCs/>
      <w:color w:val="365f91" w:themeColor="accent1" w:themeShade="BF"/>
    </w:rPr>
  </w:style>
  <w:style w:type="character" w:styleId="1149" w:customStyle="1">
    <w:name w:val="Heading 5 Char"/>
    <w:basedOn w:val="1060"/>
    <w:uiPriority w:val="9"/>
    <w:pPr>
      <w:pBdr/>
      <w:spacing/>
      <w:ind/>
    </w:pPr>
    <w:rPr>
      <w:rFonts w:ascii="Arial" w:hAnsi="Arial" w:eastAsia="Arial" w:cs="Arial"/>
      <w:color w:val="365f91" w:themeColor="accent1" w:themeShade="BF"/>
    </w:rPr>
  </w:style>
  <w:style w:type="character" w:styleId="1150" w:customStyle="1">
    <w:name w:val="Heading 6 Char"/>
    <w:basedOn w:val="1060"/>
    <w:uiPriority w:val="9"/>
    <w:pPr>
      <w:pBdr/>
      <w:spacing/>
      <w:ind/>
    </w:pPr>
    <w:rPr>
      <w:rFonts w:ascii="Arial" w:hAnsi="Arial" w:eastAsia="Arial" w:cs="Arial"/>
      <w:i/>
      <w:iCs/>
      <w:color w:val="595959" w:themeColor="text1" w:themeTint="A6"/>
    </w:rPr>
  </w:style>
  <w:style w:type="character" w:styleId="1151" w:customStyle="1">
    <w:name w:val="Heading 7 Char"/>
    <w:basedOn w:val="1060"/>
    <w:uiPriority w:val="9"/>
    <w:pPr>
      <w:pBdr/>
      <w:spacing/>
      <w:ind/>
    </w:pPr>
    <w:rPr>
      <w:rFonts w:ascii="Arial" w:hAnsi="Arial" w:eastAsia="Arial" w:cs="Arial"/>
      <w:color w:val="595959" w:themeColor="text1" w:themeTint="A6"/>
    </w:rPr>
  </w:style>
  <w:style w:type="character" w:styleId="1152" w:customStyle="1">
    <w:name w:val="Heading 8 Char"/>
    <w:basedOn w:val="1060"/>
    <w:uiPriority w:val="9"/>
    <w:pPr>
      <w:pBdr/>
      <w:spacing/>
      <w:ind/>
    </w:pPr>
    <w:rPr>
      <w:rFonts w:ascii="Arial" w:hAnsi="Arial" w:eastAsia="Arial" w:cs="Arial"/>
      <w:i/>
      <w:iCs/>
      <w:color w:val="272727" w:themeColor="text1" w:themeTint="D8"/>
    </w:rPr>
  </w:style>
  <w:style w:type="character" w:styleId="1153" w:customStyle="1">
    <w:name w:val="Heading 9 Char"/>
    <w:basedOn w:val="1060"/>
    <w:uiPriority w:val="9"/>
    <w:pPr>
      <w:pBdr/>
      <w:spacing/>
      <w:ind/>
    </w:pPr>
    <w:rPr>
      <w:rFonts w:ascii="Arial" w:hAnsi="Arial" w:eastAsia="Arial" w:cs="Arial"/>
      <w:i/>
      <w:iCs/>
      <w:color w:val="272727" w:themeColor="text1" w:themeTint="D8"/>
    </w:rPr>
  </w:style>
  <w:style w:type="character" w:styleId="1154" w:customStyle="1">
    <w:name w:val="Title Char"/>
    <w:basedOn w:val="1060"/>
    <w:uiPriority w:val="10"/>
    <w:pPr>
      <w:pBdr/>
      <w:spacing/>
      <w:ind/>
    </w:pPr>
    <w:rPr>
      <w:rFonts w:ascii="Arial" w:hAnsi="Arial" w:eastAsia="Arial" w:cs="Arial"/>
      <w:spacing w:val="-10"/>
      <w:sz w:val="56"/>
      <w:szCs w:val="56"/>
    </w:rPr>
  </w:style>
  <w:style w:type="character" w:styleId="1155" w:customStyle="1">
    <w:name w:val="Subtitle Char"/>
    <w:basedOn w:val="1060"/>
    <w:uiPriority w:val="11"/>
    <w:pPr>
      <w:pBdr/>
      <w:spacing/>
      <w:ind/>
    </w:pPr>
    <w:rPr>
      <w:color w:val="595959" w:themeColor="text1" w:themeTint="A6"/>
      <w:spacing w:val="15"/>
      <w:sz w:val="28"/>
      <w:szCs w:val="28"/>
    </w:rPr>
  </w:style>
  <w:style w:type="character" w:styleId="1156" w:customStyle="1">
    <w:name w:val="Quote Char"/>
    <w:basedOn w:val="1060"/>
    <w:uiPriority w:val="29"/>
    <w:pPr>
      <w:pBdr/>
      <w:spacing/>
      <w:ind/>
    </w:pPr>
    <w:rPr>
      <w:i/>
      <w:iCs/>
      <w:color w:val="404040" w:themeColor="text1" w:themeTint="BF"/>
    </w:rPr>
  </w:style>
  <w:style w:type="character" w:styleId="1157" w:customStyle="1">
    <w:name w:val="Intense Quote Char"/>
    <w:basedOn w:val="1060"/>
    <w:uiPriority w:val="30"/>
    <w:pPr>
      <w:pBdr/>
      <w:spacing/>
      <w:ind/>
    </w:pPr>
    <w:rPr>
      <w:i/>
      <w:iCs/>
      <w:color w:val="365f91" w:themeColor="accent1" w:themeShade="BF"/>
    </w:rPr>
  </w:style>
  <w:style w:type="character" w:styleId="1158" w:customStyle="1">
    <w:name w:val="Endnote Text Char"/>
    <w:basedOn w:val="1060"/>
    <w:uiPriority w:val="99"/>
    <w:semiHidden/>
    <w:pPr>
      <w:pBdr/>
      <w:spacing/>
      <w:ind/>
    </w:pPr>
    <w:rPr>
      <w:sz w:val="20"/>
      <w:szCs w:val="20"/>
    </w:rPr>
  </w:style>
  <w:style w:type="table" w:styleId="1159">
    <w:name w:val="Plain Table 1"/>
    <w:basedOn w:val="1061"/>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0">
    <w:name w:val="Plain Table 2"/>
    <w:basedOn w:val="1061"/>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1">
    <w:name w:val="Plain Table 3"/>
    <w:basedOn w:val="1061"/>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2">
    <w:name w:val="Plain Table 4"/>
    <w:basedOn w:val="1061"/>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3">
    <w:name w:val="Plain Table 5"/>
    <w:basedOn w:val="1061"/>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4">
    <w:name w:val="Grid Table 1 Light"/>
    <w:basedOn w:val="1061"/>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5">
    <w:name w:val="Grid Table 2"/>
    <w:basedOn w:val="1061"/>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6">
    <w:name w:val="Grid Table 3"/>
    <w:basedOn w:val="1061"/>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7">
    <w:name w:val="Grid Table 4"/>
    <w:basedOn w:val="1061"/>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8">
    <w:name w:val="Grid Table 5 Dark"/>
    <w:basedOn w:val="106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9" w:customStyle="1">
    <w:name w:val="Grid Table 5 Dark- Accent 1"/>
    <w:basedOn w:val="106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0" w:customStyle="1">
    <w:name w:val="Grid Table 5 Dark- Accent 4"/>
    <w:basedOn w:val="1061"/>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1">
    <w:name w:val="Grid Table 6 Colorful"/>
    <w:basedOn w:val="1061"/>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2">
    <w:name w:val="Grid Table 7 Colorful"/>
    <w:basedOn w:val="1061"/>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3">
    <w:name w:val="List Table 1 Light"/>
    <w:basedOn w:val="1061"/>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4">
    <w:name w:val="List Table 2"/>
    <w:basedOn w:val="1061"/>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5">
    <w:name w:val="List Table 3"/>
    <w:basedOn w:val="1061"/>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6">
    <w:name w:val="List Table 4"/>
    <w:basedOn w:val="1061"/>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7">
    <w:name w:val="List Table 5 Dark"/>
    <w:basedOn w:val="1061"/>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8">
    <w:name w:val="List Table 6 Colorful"/>
    <w:basedOn w:val="1061"/>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9">
    <w:name w:val="List Table 7 Colorful"/>
    <w:basedOn w:val="1061"/>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0" w:customStyle="1">
    <w:name w:val="Lined - Accent"/>
    <w:basedOn w:val="1061"/>
    <w:uiPriority w:val="99"/>
    <w:pPr>
      <w:pBdr/>
      <w:spacing/>
      <w:ind/>
    </w:pPr>
    <w:rPr>
      <w:color w:val="404040"/>
      <w:lang w:val="en-GB" w:eastAsia="en-GB"/>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1" w:customStyle="1">
    <w:name w:val="Lined - Accent 1"/>
    <w:basedOn w:val="1061"/>
    <w:uiPriority w:val="99"/>
    <w:pPr>
      <w:pBdr/>
      <w:spacing/>
      <w:ind/>
    </w:pPr>
    <w:rPr>
      <w:color w:val="404040"/>
      <w:lang w:val="en-GB" w:eastAsia="en-GB"/>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2" w:customStyle="1">
    <w:name w:val="Lined - Accent 2"/>
    <w:basedOn w:val="1061"/>
    <w:uiPriority w:val="99"/>
    <w:pPr>
      <w:pBdr/>
      <w:spacing/>
      <w:ind/>
    </w:pPr>
    <w:rPr>
      <w:color w:val="404040"/>
      <w:lang w:val="en-GB" w:eastAsia="en-GB"/>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3" w:customStyle="1">
    <w:name w:val="Lined - Accent 3"/>
    <w:basedOn w:val="1061"/>
    <w:uiPriority w:val="99"/>
    <w:pPr>
      <w:pBdr/>
      <w:spacing/>
      <w:ind/>
    </w:pPr>
    <w:rPr>
      <w:color w:val="404040"/>
      <w:lang w:val="en-GB" w:eastAsia="en-GB"/>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4" w:customStyle="1">
    <w:name w:val="Lined - Accent 4"/>
    <w:basedOn w:val="1061"/>
    <w:uiPriority w:val="99"/>
    <w:pPr>
      <w:pBdr/>
      <w:spacing/>
      <w:ind/>
    </w:pPr>
    <w:rPr>
      <w:color w:val="404040"/>
      <w:lang w:val="en-GB" w:eastAsia="en-GB"/>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5" w:customStyle="1">
    <w:name w:val="Lined - Accent 5"/>
    <w:basedOn w:val="1061"/>
    <w:uiPriority w:val="99"/>
    <w:pPr>
      <w:pBdr/>
      <w:spacing/>
      <w:ind/>
    </w:pPr>
    <w:rPr>
      <w:color w:val="404040"/>
      <w:lang w:val="en-GB" w:eastAsia="en-GB"/>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6" w:customStyle="1">
    <w:name w:val="Lined - Accent 6"/>
    <w:basedOn w:val="1061"/>
    <w:uiPriority w:val="99"/>
    <w:pPr>
      <w:pBdr/>
      <w:spacing/>
      <w:ind/>
    </w:pPr>
    <w:rPr>
      <w:color w:val="404040"/>
      <w:lang w:val="en-GB" w:eastAsia="en-GB"/>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7" w:customStyle="1">
    <w:name w:val="Bordered &amp; Lined - Accent"/>
    <w:basedOn w:val="1061"/>
    <w:uiPriority w:val="99"/>
    <w:pPr>
      <w:pBdr/>
      <w:spacing/>
      <w:ind/>
    </w:pPr>
    <w:rPr>
      <w:color w:val="404040"/>
      <w:lang w:val="en-GB" w:eastAsia="en-GB"/>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8" w:customStyle="1">
    <w:name w:val="Bordered &amp; Lined - Accent 1"/>
    <w:basedOn w:val="1061"/>
    <w:uiPriority w:val="99"/>
    <w:pPr>
      <w:pBdr/>
      <w:spacing/>
      <w:ind/>
    </w:pPr>
    <w:rPr>
      <w:color w:val="404040"/>
      <w:lang w:val="en-GB" w:eastAsia="en-GB"/>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9" w:customStyle="1">
    <w:name w:val="Bordered &amp; Lined - Accent 2"/>
    <w:basedOn w:val="1061"/>
    <w:uiPriority w:val="99"/>
    <w:pPr>
      <w:pBdr/>
      <w:spacing/>
      <w:ind/>
    </w:pPr>
    <w:rPr>
      <w:color w:val="404040"/>
      <w:lang w:val="en-GB" w:eastAsia="en-GB"/>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0" w:customStyle="1">
    <w:name w:val="Bordered &amp; Lined - Accent 3"/>
    <w:basedOn w:val="1061"/>
    <w:uiPriority w:val="99"/>
    <w:pPr>
      <w:pBdr/>
      <w:spacing/>
      <w:ind/>
    </w:pPr>
    <w:rPr>
      <w:color w:val="404040"/>
      <w:lang w:val="en-GB" w:eastAsia="en-GB"/>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1" w:customStyle="1">
    <w:name w:val="Bordered &amp; Lined - Accent 4"/>
    <w:basedOn w:val="1061"/>
    <w:uiPriority w:val="99"/>
    <w:pPr>
      <w:pBdr/>
      <w:spacing/>
      <w:ind/>
    </w:pPr>
    <w:rPr>
      <w:color w:val="404040"/>
      <w:lang w:val="en-GB" w:eastAsia="en-GB"/>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2" w:customStyle="1">
    <w:name w:val="Bordered &amp; Lined - Accent 5"/>
    <w:basedOn w:val="1061"/>
    <w:uiPriority w:val="99"/>
    <w:pPr>
      <w:pBdr/>
      <w:spacing/>
      <w:ind/>
    </w:pPr>
    <w:rPr>
      <w:color w:val="404040"/>
      <w:lang w:val="en-GB" w:eastAsia="en-GB"/>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3" w:customStyle="1">
    <w:name w:val="Bordered &amp; Lined - Accent 6"/>
    <w:basedOn w:val="1061"/>
    <w:uiPriority w:val="99"/>
    <w:pPr>
      <w:pBdr/>
      <w:spacing/>
      <w:ind/>
    </w:pPr>
    <w:rPr>
      <w:color w:val="404040"/>
      <w:lang w:val="en-GB" w:eastAsia="en-GB"/>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4" w:customStyle="1">
    <w:name w:val="Bordered"/>
    <w:basedOn w:val="1061"/>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5" w:customStyle="1">
    <w:name w:val="Bordered - Accent 1"/>
    <w:basedOn w:val="1061"/>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6" w:customStyle="1">
    <w:name w:val="Bordered - Accent 2"/>
    <w:basedOn w:val="1061"/>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7" w:customStyle="1">
    <w:name w:val="Bordered - Accent 3"/>
    <w:basedOn w:val="1061"/>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8" w:customStyle="1">
    <w:name w:val="Bordered - Accent 4"/>
    <w:basedOn w:val="1061"/>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9" w:customStyle="1">
    <w:name w:val="Bordered - Accent 5"/>
    <w:basedOn w:val="1061"/>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0" w:customStyle="1">
    <w:name w:val="Bordered - Accent 6"/>
    <w:basedOn w:val="1061"/>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201" w:customStyle="1">
    <w:name w:val="Heading 1 Char1"/>
    <w:basedOn w:val="1060"/>
    <w:link w:val="1051"/>
    <w:uiPriority w:val="9"/>
    <w:pPr>
      <w:pBdr/>
      <w:spacing/>
      <w:ind/>
    </w:pPr>
    <w:rPr>
      <w:rFonts w:ascii="Arial" w:hAnsi="Arial" w:eastAsia="Arial" w:cs="Arial"/>
      <w:color w:val="365f91" w:themeColor="accent1" w:themeShade="BF"/>
      <w:sz w:val="40"/>
      <w:szCs w:val="40"/>
    </w:rPr>
  </w:style>
  <w:style w:type="character" w:styleId="1202" w:customStyle="1">
    <w:name w:val="Heading 2 Char"/>
    <w:basedOn w:val="1060"/>
    <w:uiPriority w:val="9"/>
    <w:pPr>
      <w:pBdr/>
      <w:spacing/>
      <w:ind/>
    </w:pPr>
    <w:rPr>
      <w:rFonts w:ascii="Arial" w:hAnsi="Arial" w:eastAsia="Arial" w:cs="Arial"/>
      <w:color w:val="365f91" w:themeColor="accent1" w:themeShade="BF"/>
      <w:sz w:val="32"/>
      <w:szCs w:val="32"/>
    </w:rPr>
  </w:style>
  <w:style w:type="character" w:styleId="1203" w:customStyle="1">
    <w:name w:val="Heading 3 Char1"/>
    <w:basedOn w:val="1060"/>
    <w:link w:val="1053"/>
    <w:uiPriority w:val="9"/>
    <w:pPr>
      <w:pBdr/>
      <w:spacing/>
      <w:ind/>
    </w:pPr>
    <w:rPr>
      <w:rFonts w:ascii="Arial" w:hAnsi="Arial" w:eastAsia="Arial" w:cs="Arial"/>
      <w:color w:val="365f91" w:themeColor="accent1" w:themeShade="BF"/>
      <w:sz w:val="28"/>
      <w:szCs w:val="28"/>
    </w:rPr>
  </w:style>
  <w:style w:type="character" w:styleId="1204" w:customStyle="1">
    <w:name w:val="Heading 4 Char1"/>
    <w:basedOn w:val="1060"/>
    <w:link w:val="1054"/>
    <w:uiPriority w:val="9"/>
    <w:pPr>
      <w:pBdr/>
      <w:spacing/>
      <w:ind/>
    </w:pPr>
    <w:rPr>
      <w:rFonts w:ascii="Arial" w:hAnsi="Arial" w:eastAsia="Arial" w:cs="Arial"/>
      <w:i/>
      <w:iCs/>
      <w:color w:val="365f91" w:themeColor="accent1" w:themeShade="BF"/>
    </w:rPr>
  </w:style>
  <w:style w:type="character" w:styleId="1205" w:customStyle="1">
    <w:name w:val="Heading 5 Char1"/>
    <w:basedOn w:val="1060"/>
    <w:link w:val="1055"/>
    <w:uiPriority w:val="9"/>
    <w:pPr>
      <w:pBdr/>
      <w:spacing/>
      <w:ind/>
    </w:pPr>
    <w:rPr>
      <w:rFonts w:ascii="Arial" w:hAnsi="Arial" w:eastAsia="Arial" w:cs="Arial"/>
      <w:color w:val="365f91" w:themeColor="accent1" w:themeShade="BF"/>
    </w:rPr>
  </w:style>
  <w:style w:type="character" w:styleId="1206" w:customStyle="1">
    <w:name w:val="Heading 6 Char1"/>
    <w:basedOn w:val="1060"/>
    <w:link w:val="1056"/>
    <w:uiPriority w:val="9"/>
    <w:pPr>
      <w:pBdr/>
      <w:spacing/>
      <w:ind/>
    </w:pPr>
    <w:rPr>
      <w:rFonts w:ascii="Arial" w:hAnsi="Arial" w:eastAsia="Arial" w:cs="Arial"/>
      <w:i/>
      <w:iCs/>
      <w:color w:val="595959" w:themeColor="text1" w:themeTint="A6"/>
    </w:rPr>
  </w:style>
  <w:style w:type="character" w:styleId="1207" w:customStyle="1">
    <w:name w:val="Heading 7 Char1"/>
    <w:basedOn w:val="1060"/>
    <w:link w:val="1057"/>
    <w:uiPriority w:val="9"/>
    <w:pPr>
      <w:pBdr/>
      <w:spacing/>
      <w:ind/>
    </w:pPr>
    <w:rPr>
      <w:rFonts w:ascii="Arial" w:hAnsi="Arial" w:eastAsia="Arial" w:cs="Arial"/>
      <w:color w:val="595959" w:themeColor="text1" w:themeTint="A6"/>
    </w:rPr>
  </w:style>
  <w:style w:type="character" w:styleId="1208" w:customStyle="1">
    <w:name w:val="Heading 8 Char1"/>
    <w:basedOn w:val="1060"/>
    <w:link w:val="1058"/>
    <w:uiPriority w:val="9"/>
    <w:pPr>
      <w:pBdr/>
      <w:spacing/>
      <w:ind/>
    </w:pPr>
    <w:rPr>
      <w:rFonts w:ascii="Arial" w:hAnsi="Arial" w:eastAsia="Arial" w:cs="Arial"/>
      <w:i/>
      <w:iCs/>
      <w:color w:val="272727" w:themeColor="text1" w:themeTint="D8"/>
    </w:rPr>
  </w:style>
  <w:style w:type="character" w:styleId="1209" w:customStyle="1">
    <w:name w:val="Heading 9 Char1"/>
    <w:basedOn w:val="1060"/>
    <w:link w:val="1059"/>
    <w:uiPriority w:val="9"/>
    <w:pPr>
      <w:pBdr/>
      <w:spacing/>
      <w:ind/>
    </w:pPr>
    <w:rPr>
      <w:rFonts w:ascii="Arial" w:hAnsi="Arial" w:eastAsia="Arial" w:cs="Arial"/>
      <w:i/>
      <w:iCs/>
      <w:color w:val="272727" w:themeColor="text1" w:themeTint="D8"/>
    </w:rPr>
  </w:style>
  <w:style w:type="character" w:styleId="1210" w:customStyle="1">
    <w:name w:val="Title Char1"/>
    <w:basedOn w:val="1060"/>
    <w:link w:val="1255"/>
    <w:uiPriority w:val="10"/>
    <w:pPr>
      <w:pBdr/>
      <w:spacing/>
      <w:ind/>
    </w:pPr>
    <w:rPr>
      <w:rFonts w:ascii="Arial" w:hAnsi="Arial" w:eastAsia="Arial" w:cs="Arial"/>
      <w:spacing w:val="-10"/>
      <w:sz w:val="56"/>
      <w:szCs w:val="56"/>
    </w:rPr>
  </w:style>
  <w:style w:type="paragraph" w:styleId="1211">
    <w:name w:val="Subtitle"/>
    <w:basedOn w:val="1050"/>
    <w:next w:val="1050"/>
    <w:link w:val="1212"/>
    <w:uiPriority w:val="11"/>
    <w:qFormat/>
    <w:pPr>
      <w:numPr>
        <w:ilvl w:val="1"/>
      </w:numPr>
      <w:pBdr/>
      <w:spacing/>
      <w:ind/>
    </w:pPr>
    <w:rPr>
      <w:color w:val="595959" w:themeColor="text1" w:themeTint="A6"/>
      <w:spacing w:val="15"/>
      <w:sz w:val="28"/>
      <w:szCs w:val="28"/>
    </w:rPr>
  </w:style>
  <w:style w:type="character" w:styleId="1212" w:customStyle="1">
    <w:name w:val="Subtitle Char1"/>
    <w:basedOn w:val="1060"/>
    <w:link w:val="1211"/>
    <w:uiPriority w:val="11"/>
    <w:pPr>
      <w:pBdr/>
      <w:spacing/>
      <w:ind/>
    </w:pPr>
    <w:rPr>
      <w:color w:val="595959" w:themeColor="text1" w:themeTint="A6"/>
      <w:spacing w:val="15"/>
      <w:sz w:val="28"/>
      <w:szCs w:val="28"/>
    </w:rPr>
  </w:style>
  <w:style w:type="paragraph" w:styleId="1213">
    <w:name w:val="Quote"/>
    <w:basedOn w:val="1050"/>
    <w:next w:val="1050"/>
    <w:link w:val="1214"/>
    <w:uiPriority w:val="29"/>
    <w:qFormat/>
    <w:pPr>
      <w:pBdr/>
      <w:spacing w:before="160"/>
      <w:ind/>
      <w:jc w:val="center"/>
    </w:pPr>
    <w:rPr>
      <w:i/>
      <w:iCs/>
      <w:color w:val="404040" w:themeColor="text1" w:themeTint="BF"/>
    </w:rPr>
  </w:style>
  <w:style w:type="character" w:styleId="1214" w:customStyle="1">
    <w:name w:val="Quote Char1"/>
    <w:basedOn w:val="1060"/>
    <w:link w:val="1213"/>
    <w:uiPriority w:val="29"/>
    <w:pPr>
      <w:pBdr/>
      <w:spacing/>
      <w:ind/>
    </w:pPr>
    <w:rPr>
      <w:i/>
      <w:iCs/>
      <w:color w:val="404040" w:themeColor="text1" w:themeTint="BF"/>
    </w:rPr>
  </w:style>
  <w:style w:type="character" w:styleId="1215">
    <w:name w:val="Intense Emphasis"/>
    <w:basedOn w:val="1060"/>
    <w:uiPriority w:val="21"/>
    <w:qFormat/>
    <w:pPr>
      <w:pBdr/>
      <w:spacing/>
      <w:ind/>
    </w:pPr>
    <w:rPr>
      <w:i/>
      <w:iCs/>
      <w:color w:val="365f91" w:themeColor="accent1" w:themeShade="BF"/>
    </w:rPr>
  </w:style>
  <w:style w:type="paragraph" w:styleId="1216">
    <w:name w:val="Intense Quote"/>
    <w:basedOn w:val="1050"/>
    <w:next w:val="1050"/>
    <w:link w:val="1217"/>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217" w:customStyle="1">
    <w:name w:val="Intense Quote Char1"/>
    <w:basedOn w:val="1060"/>
    <w:link w:val="1216"/>
    <w:uiPriority w:val="30"/>
    <w:pPr>
      <w:pBdr/>
      <w:spacing/>
      <w:ind/>
    </w:pPr>
    <w:rPr>
      <w:i/>
      <w:iCs/>
      <w:color w:val="365f91" w:themeColor="accent1" w:themeShade="BF"/>
    </w:rPr>
  </w:style>
  <w:style w:type="character" w:styleId="1218">
    <w:name w:val="Intense Reference"/>
    <w:basedOn w:val="1060"/>
    <w:uiPriority w:val="32"/>
    <w:qFormat/>
    <w:pPr>
      <w:pBdr/>
      <w:spacing/>
      <w:ind/>
    </w:pPr>
    <w:rPr>
      <w:b/>
      <w:bCs/>
      <w:smallCaps/>
      <w:color w:val="365f91" w:themeColor="accent1" w:themeShade="BF"/>
      <w:spacing w:val="5"/>
    </w:rPr>
  </w:style>
  <w:style w:type="paragraph" w:styleId="1219">
    <w:name w:val="No Spacing"/>
    <w:basedOn w:val="1050"/>
    <w:uiPriority w:val="1"/>
    <w:qFormat/>
    <w:pPr>
      <w:pBdr/>
      <w:spacing w:line="240" w:lineRule="auto"/>
      <w:ind/>
    </w:pPr>
  </w:style>
  <w:style w:type="character" w:styleId="1220">
    <w:name w:val="Subtle Emphasis"/>
    <w:basedOn w:val="1060"/>
    <w:uiPriority w:val="19"/>
    <w:qFormat/>
    <w:pPr>
      <w:pBdr/>
      <w:spacing/>
      <w:ind/>
    </w:pPr>
    <w:rPr>
      <w:i/>
      <w:iCs/>
      <w:color w:val="404040" w:themeColor="text1" w:themeTint="BF"/>
    </w:rPr>
  </w:style>
  <w:style w:type="character" w:styleId="1221">
    <w:name w:val="Strong"/>
    <w:basedOn w:val="1060"/>
    <w:uiPriority w:val="22"/>
    <w:qFormat/>
    <w:pPr>
      <w:pBdr/>
      <w:spacing/>
      <w:ind/>
    </w:pPr>
    <w:rPr>
      <w:b/>
      <w:bCs/>
    </w:rPr>
  </w:style>
  <w:style w:type="character" w:styleId="1222">
    <w:name w:val="Subtle Reference"/>
    <w:basedOn w:val="1060"/>
    <w:uiPriority w:val="31"/>
    <w:qFormat/>
    <w:pPr>
      <w:pBdr/>
      <w:spacing/>
      <w:ind/>
    </w:pPr>
    <w:rPr>
      <w:smallCaps/>
      <w:color w:val="5a5a5a" w:themeColor="text1" w:themeTint="A5"/>
    </w:rPr>
  </w:style>
  <w:style w:type="character" w:styleId="1223" w:customStyle="1">
    <w:name w:val="Header Char"/>
    <w:basedOn w:val="1060"/>
    <w:uiPriority w:val="99"/>
    <w:pPr>
      <w:pBdr/>
      <w:spacing/>
      <w:ind/>
    </w:pPr>
  </w:style>
  <w:style w:type="character" w:styleId="1224" w:customStyle="1">
    <w:name w:val="Footer Char"/>
    <w:basedOn w:val="1060"/>
    <w:uiPriority w:val="99"/>
    <w:pPr>
      <w:pBdr/>
      <w:spacing/>
      <w:ind/>
    </w:pPr>
  </w:style>
  <w:style w:type="paragraph" w:styleId="1225">
    <w:name w:val="Caption"/>
    <w:basedOn w:val="1050"/>
    <w:next w:val="1050"/>
    <w:uiPriority w:val="35"/>
    <w:unhideWhenUsed/>
    <w:qFormat/>
    <w:pPr>
      <w:pBdr/>
      <w:spacing w:after="200" w:line="240" w:lineRule="auto"/>
      <w:ind/>
    </w:pPr>
    <w:rPr>
      <w:i/>
      <w:iCs/>
      <w:color w:val="1f497d" w:themeColor="text2"/>
      <w:sz w:val="18"/>
      <w:szCs w:val="18"/>
    </w:rPr>
  </w:style>
  <w:style w:type="character" w:styleId="1226" w:customStyle="1">
    <w:name w:val="Footnote Text Char"/>
    <w:basedOn w:val="1060"/>
    <w:uiPriority w:val="99"/>
    <w:semiHidden/>
    <w:pPr>
      <w:pBdr/>
      <w:spacing/>
      <w:ind/>
    </w:pPr>
    <w:rPr>
      <w:sz w:val="20"/>
      <w:szCs w:val="20"/>
    </w:rPr>
  </w:style>
  <w:style w:type="paragraph" w:styleId="1227">
    <w:name w:val="endnote text"/>
    <w:basedOn w:val="1050"/>
    <w:link w:val="1228"/>
    <w:uiPriority w:val="99"/>
    <w:semiHidden/>
    <w:unhideWhenUsed/>
    <w:pPr>
      <w:pBdr/>
      <w:spacing w:line="240" w:lineRule="auto"/>
      <w:ind/>
    </w:pPr>
  </w:style>
  <w:style w:type="character" w:styleId="1228" w:customStyle="1">
    <w:name w:val="Endnote Text Char1"/>
    <w:basedOn w:val="1060"/>
    <w:link w:val="1227"/>
    <w:uiPriority w:val="99"/>
    <w:semiHidden/>
    <w:pPr>
      <w:pBdr/>
      <w:spacing/>
      <w:ind/>
    </w:pPr>
    <w:rPr>
      <w:sz w:val="20"/>
      <w:szCs w:val="20"/>
    </w:rPr>
  </w:style>
  <w:style w:type="character" w:styleId="1229">
    <w:name w:val="endnote reference"/>
    <w:basedOn w:val="1060"/>
    <w:uiPriority w:val="99"/>
    <w:semiHidden/>
    <w:unhideWhenUsed/>
    <w:pPr>
      <w:pBdr/>
      <w:spacing/>
      <w:ind/>
    </w:pPr>
    <w:rPr>
      <w:vertAlign w:val="superscript"/>
    </w:rPr>
  </w:style>
  <w:style w:type="paragraph" w:styleId="1230">
    <w:name w:val="toc 4"/>
    <w:basedOn w:val="1050"/>
    <w:next w:val="1050"/>
    <w:uiPriority w:val="39"/>
    <w:unhideWhenUsed/>
    <w:pPr>
      <w:pBdr/>
      <w:spacing w:after="100"/>
      <w:ind w:left="660"/>
    </w:pPr>
  </w:style>
  <w:style w:type="paragraph" w:styleId="1231">
    <w:name w:val="toc 5"/>
    <w:basedOn w:val="1050"/>
    <w:next w:val="1050"/>
    <w:uiPriority w:val="39"/>
    <w:unhideWhenUsed/>
    <w:pPr>
      <w:pBdr/>
      <w:spacing w:after="100"/>
      <w:ind w:left="880"/>
    </w:pPr>
  </w:style>
  <w:style w:type="paragraph" w:styleId="1232">
    <w:name w:val="toc 6"/>
    <w:basedOn w:val="1050"/>
    <w:next w:val="1050"/>
    <w:uiPriority w:val="39"/>
    <w:unhideWhenUsed/>
    <w:pPr>
      <w:pBdr/>
      <w:spacing w:after="100"/>
      <w:ind w:left="1100"/>
    </w:pPr>
  </w:style>
  <w:style w:type="paragraph" w:styleId="1233">
    <w:name w:val="toc 7"/>
    <w:basedOn w:val="1050"/>
    <w:next w:val="1050"/>
    <w:uiPriority w:val="39"/>
    <w:unhideWhenUsed/>
    <w:pPr>
      <w:pBdr/>
      <w:spacing w:after="100"/>
      <w:ind w:left="1320"/>
    </w:pPr>
  </w:style>
  <w:style w:type="paragraph" w:styleId="1234">
    <w:name w:val="toc 8"/>
    <w:basedOn w:val="1050"/>
    <w:next w:val="1050"/>
    <w:uiPriority w:val="39"/>
    <w:unhideWhenUsed/>
    <w:pPr>
      <w:pBdr/>
      <w:spacing w:after="100"/>
      <w:ind w:left="1540"/>
    </w:pPr>
  </w:style>
  <w:style w:type="paragraph" w:styleId="1235">
    <w:name w:val="toc 9"/>
    <w:basedOn w:val="1050"/>
    <w:next w:val="1050"/>
    <w:uiPriority w:val="39"/>
    <w:unhideWhenUsed/>
    <w:pPr>
      <w:pBdr/>
      <w:spacing w:after="100"/>
      <w:ind w:left="1760"/>
    </w:pPr>
  </w:style>
  <w:style w:type="paragraph" w:styleId="1236">
    <w:name w:val="table of figures"/>
    <w:basedOn w:val="1050"/>
    <w:next w:val="1050"/>
    <w:uiPriority w:val="99"/>
    <w:unhideWhenUsed/>
    <w:pPr>
      <w:pBdr/>
      <w:spacing/>
      <w:ind/>
    </w:pPr>
  </w:style>
  <w:style w:type="paragraph" w:styleId="1237">
    <w:name w:val="Header"/>
    <w:basedOn w:val="1050"/>
    <w:link w:val="1288"/>
    <w:semiHidden/>
    <w:pPr>
      <w:pBdr/>
      <w:tabs>
        <w:tab w:val="center" w:leader="none" w:pos="4536"/>
        <w:tab w:val="right" w:leader="none" w:pos="9072"/>
      </w:tabs>
      <w:spacing/>
      <w:ind/>
    </w:pPr>
  </w:style>
  <w:style w:type="paragraph" w:styleId="1238">
    <w:name w:val="Footer"/>
    <w:basedOn w:val="1050"/>
    <w:link w:val="1277"/>
    <w:uiPriority w:val="99"/>
    <w:pPr>
      <w:pBdr/>
      <w:tabs>
        <w:tab w:val="center" w:leader="none" w:pos="4536"/>
        <w:tab w:val="right" w:leader="none" w:pos="9072"/>
      </w:tabs>
      <w:spacing/>
      <w:ind/>
    </w:pPr>
  </w:style>
  <w:style w:type="character" w:styleId="1239">
    <w:name w:val="Hyperlink"/>
    <w:basedOn w:val="1060"/>
    <w:uiPriority w:val="99"/>
    <w:pPr>
      <w:pBdr/>
      <w:spacing/>
      <w:ind/>
    </w:pPr>
    <w:rPr>
      <w:color w:val="0000ff"/>
      <w:u w:val="single"/>
    </w:rPr>
  </w:style>
  <w:style w:type="paragraph" w:styleId="1240" w:customStyle="1">
    <w:name w:val="texte puce2"/>
    <w:basedOn w:val="1050"/>
    <w:pPr>
      <w:numPr>
        <w:numId w:val="1"/>
      </w:numPr>
      <w:pBdr/>
      <w:spacing/>
      <w:ind/>
    </w:pPr>
  </w:style>
  <w:style w:type="paragraph" w:styleId="1241" w:customStyle="1">
    <w:name w:val="Texte de bulles1"/>
    <w:basedOn w:val="1050"/>
    <w:semiHidden/>
    <w:pPr>
      <w:pBdr/>
      <w:spacing/>
      <w:ind/>
    </w:pPr>
    <w:rPr>
      <w:rFonts w:ascii="Tahoma" w:hAnsi="Tahoma" w:cs="Tahoma"/>
      <w:sz w:val="16"/>
      <w:szCs w:val="16"/>
    </w:rPr>
  </w:style>
  <w:style w:type="paragraph" w:styleId="1242" w:customStyle="1">
    <w:name w:val="a"/>
    <w:basedOn w:val="1050"/>
    <w:pPr>
      <w:pBdr/>
      <w:spacing w:line="240" w:lineRule="auto"/>
      <w:ind/>
      <w:jc w:val="both"/>
    </w:pPr>
    <w:rPr>
      <w:rFonts w:eastAsia="Times New Roman"/>
      <w:sz w:val="22"/>
    </w:rPr>
  </w:style>
  <w:style w:type="paragraph" w:styleId="1243" w:customStyle="1">
    <w:name w:val="u"/>
    <w:basedOn w:val="1050"/>
    <w:pPr>
      <w:pBdr/>
      <w:spacing w:line="240" w:lineRule="auto"/>
      <w:ind w:left="562"/>
      <w:jc w:val="both"/>
    </w:pPr>
    <w:rPr>
      <w:rFonts w:eastAsia="Times New Roman"/>
      <w:sz w:val="22"/>
    </w:rPr>
  </w:style>
  <w:style w:type="paragraph" w:styleId="1244" w:customStyle="1">
    <w:name w:val="v"/>
    <w:basedOn w:val="1243"/>
    <w:pPr>
      <w:pBdr/>
      <w:spacing/>
      <w:ind w:hanging="562"/>
    </w:pPr>
  </w:style>
  <w:style w:type="paragraph" w:styleId="1245" w:customStyle="1">
    <w:name w:val="TITF1"/>
    <w:basedOn w:val="1050"/>
    <w:pPr>
      <w:widowControl w:val="false"/>
      <w:numPr>
        <w:ilvl w:val="12"/>
      </w:numPr>
      <w:pBdr/>
      <w:spacing w:after="540" w:line="240" w:lineRule="auto"/>
      <w:ind/>
      <w:jc w:val="both"/>
    </w:pPr>
    <w:rPr>
      <w:rFonts w:eastAsia="Times New Roman" w:cs="Arial"/>
      <w:b/>
      <w:caps/>
    </w:rPr>
  </w:style>
  <w:style w:type="paragraph" w:styleId="1246" w:customStyle="1">
    <w:name w:val="w"/>
    <w:basedOn w:val="1050"/>
    <w:pPr>
      <w:pBdr/>
      <w:spacing w:line="240" w:lineRule="auto"/>
      <w:ind/>
      <w:jc w:val="both"/>
    </w:pPr>
    <w:rPr>
      <w:rFonts w:eastAsia="Times New Roman"/>
      <w:sz w:val="22"/>
      <w:szCs w:val="24"/>
    </w:rPr>
  </w:style>
  <w:style w:type="paragraph" w:styleId="1247" w:customStyle="1">
    <w:name w:val="TITF2"/>
    <w:basedOn w:val="1050"/>
    <w:pPr>
      <w:keepNext w:val="true"/>
      <w:pBdr/>
      <w:spacing w:after="270" w:line="240" w:lineRule="auto"/>
      <w:ind w:hanging="562" w:left="562"/>
    </w:pPr>
    <w:rPr>
      <w:rFonts w:eastAsia="Times New Roman"/>
      <w:b/>
      <w:sz w:val="22"/>
    </w:rPr>
  </w:style>
  <w:style w:type="character" w:styleId="1248">
    <w:name w:val="page number"/>
    <w:basedOn w:val="1060"/>
    <w:semiHidden/>
    <w:pPr>
      <w:pBdr/>
      <w:spacing/>
      <w:ind/>
    </w:pPr>
  </w:style>
  <w:style w:type="paragraph" w:styleId="1249" w:customStyle="1">
    <w:name w:val="b"/>
    <w:basedOn w:val="1050"/>
    <w:pPr>
      <w:numPr>
        <w:numId w:val="3"/>
      </w:numPr>
      <w:pBdr/>
      <w:spacing w:line="240" w:lineRule="auto"/>
      <w:ind/>
      <w:jc w:val="both"/>
    </w:pPr>
    <w:rPr>
      <w:rFonts w:eastAsia="Times New Roman"/>
      <w:sz w:val="22"/>
      <w:szCs w:val="24"/>
    </w:rPr>
  </w:style>
  <w:style w:type="paragraph" w:styleId="1250" w:customStyle="1">
    <w:name w:val="e"/>
    <w:basedOn w:val="1249"/>
    <w:pPr>
      <w:pBdr/>
      <w:spacing/>
      <w:ind/>
    </w:pPr>
    <w:rPr>
      <w:lang w:val="en-GB"/>
    </w:rPr>
  </w:style>
  <w:style w:type="paragraph" w:styleId="1251" w:customStyle="1">
    <w:name w:val="q"/>
    <w:basedOn w:val="1050"/>
    <w:pPr>
      <w:numPr>
        <w:numId w:val="4"/>
      </w:numPr>
      <w:pBdr/>
      <w:spacing w:line="240" w:lineRule="auto"/>
      <w:ind/>
      <w:jc w:val="both"/>
    </w:pPr>
    <w:rPr>
      <w:rFonts w:eastAsia="Times New Roman"/>
      <w:sz w:val="22"/>
      <w:szCs w:val="24"/>
    </w:rPr>
  </w:style>
  <w:style w:type="paragraph" w:styleId="1252">
    <w:name w:val="Body Text"/>
    <w:basedOn w:val="1050"/>
    <w:semiHidden/>
    <w:pPr>
      <w:widowControl w:val="false"/>
      <w:pBdr/>
      <w:spacing w:line="240" w:lineRule="auto"/>
      <w:ind/>
      <w:jc w:val="center"/>
    </w:pPr>
    <w:rPr>
      <w:rFonts w:eastAsia="Times New Roman" w:cs="Arial"/>
      <w:b/>
      <w:caps/>
      <w:sz w:val="24"/>
      <w:szCs w:val="24"/>
    </w:rPr>
  </w:style>
  <w:style w:type="paragraph" w:styleId="1253" w:customStyle="1">
    <w:name w:val="TITF3"/>
    <w:basedOn w:val="1050"/>
    <w:pPr>
      <w:keepNext w:val="true"/>
      <w:pBdr/>
      <w:spacing w:after="270" w:line="240" w:lineRule="auto"/>
      <w:ind w:hanging="562" w:left="562"/>
    </w:pPr>
    <w:rPr>
      <w:rFonts w:eastAsia="Times New Roman"/>
      <w:b/>
      <w:sz w:val="22"/>
    </w:rPr>
  </w:style>
  <w:style w:type="character" w:styleId="1254" w:customStyle="1">
    <w:name w:val="Retrait corps de texte Car"/>
    <w:basedOn w:val="1060"/>
    <w:pPr>
      <w:pBdr/>
      <w:spacing/>
      <w:ind/>
    </w:pPr>
    <w:rPr>
      <w:rFonts w:ascii="Garamond" w:hAnsi="Garamond"/>
      <w:sz w:val="22"/>
      <w:lang w:val="en-GB" w:eastAsia="fr-FR" w:bidi="ar-SA"/>
    </w:rPr>
  </w:style>
  <w:style w:type="paragraph" w:styleId="1255">
    <w:name w:val="Title"/>
    <w:basedOn w:val="1050"/>
    <w:link w:val="1210"/>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256" w:customStyle="1">
    <w:name w:val="Default"/>
    <w:pPr>
      <w:pBdr/>
      <w:spacing/>
      <w:ind/>
    </w:pPr>
    <w:rPr>
      <w:rFonts w:ascii="Arial" w:hAnsi="Arial" w:eastAsia="Times New Roman" w:cs="Arial"/>
      <w:color w:val="000000"/>
      <w:sz w:val="24"/>
      <w:szCs w:val="24"/>
    </w:rPr>
  </w:style>
  <w:style w:type="character" w:styleId="1257">
    <w:name w:val="HTML Cite"/>
    <w:basedOn w:val="1060"/>
    <w:semiHidden/>
    <w:pPr>
      <w:pBdr/>
      <w:spacing/>
      <w:ind/>
    </w:pPr>
    <w:rPr>
      <w:i w:val="0"/>
      <w:iCs w:val="0"/>
      <w:color w:val="008000"/>
    </w:rPr>
  </w:style>
  <w:style w:type="paragraph" w:styleId="1258">
    <w:name w:val="Normal (Web)"/>
    <w:basedOn w:val="1050"/>
    <w:semiHidden/>
    <w:pPr>
      <w:pBdr/>
      <w:spacing w:after="120" w:before="120"/>
      <w:ind/>
    </w:pPr>
    <w:rPr>
      <w:rFonts w:ascii="Arial Unicode MS" w:hAnsi="Arial Unicode MS" w:eastAsia="Arial Unicode MS" w:cs="Arial Unicode MS"/>
      <w:sz w:val="24"/>
      <w:szCs w:val="24"/>
    </w:rPr>
  </w:style>
  <w:style w:type="character" w:styleId="1259">
    <w:name w:val="Emphasis"/>
    <w:basedOn w:val="1060"/>
    <w:qFormat/>
    <w:pPr>
      <w:pBdr/>
      <w:spacing/>
      <w:ind/>
    </w:pPr>
    <w:rPr>
      <w:b/>
      <w:bCs/>
      <w:i w:val="0"/>
      <w:iCs w:val="0"/>
    </w:rPr>
  </w:style>
  <w:style w:type="paragraph" w:styleId="1260">
    <w:name w:val="toc 3"/>
    <w:basedOn w:val="1050"/>
    <w:next w:val="1050"/>
    <w:uiPriority w:val="39"/>
    <w:semiHidden/>
    <w:qFormat/>
    <w:pPr>
      <w:numPr>
        <w:numId w:val="5"/>
      </w:numPr>
      <w:pBdr/>
      <w:spacing/>
      <w:ind/>
    </w:pPr>
  </w:style>
  <w:style w:type="paragraph" w:styleId="1261">
    <w:name w:val="Balloon Text"/>
    <w:basedOn w:val="1050"/>
    <w:link w:val="1262"/>
    <w:uiPriority w:val="99"/>
    <w:semiHidden/>
    <w:unhideWhenUsed/>
    <w:pPr>
      <w:pBdr/>
      <w:spacing w:line="240" w:lineRule="auto"/>
      <w:ind/>
    </w:pPr>
    <w:rPr>
      <w:rFonts w:ascii="Tahoma" w:hAnsi="Tahoma" w:cs="Tahoma"/>
      <w:sz w:val="16"/>
      <w:szCs w:val="16"/>
    </w:rPr>
  </w:style>
  <w:style w:type="character" w:styleId="1262" w:customStyle="1">
    <w:name w:val="Balloon Text Char"/>
    <w:basedOn w:val="1060"/>
    <w:link w:val="1261"/>
    <w:uiPriority w:val="99"/>
    <w:semiHidden/>
    <w:pPr>
      <w:pBdr/>
      <w:spacing/>
      <w:ind/>
    </w:pPr>
    <w:rPr>
      <w:rFonts w:ascii="Tahoma" w:hAnsi="Tahoma" w:cs="Tahoma"/>
      <w:sz w:val="16"/>
      <w:szCs w:val="16"/>
    </w:rPr>
  </w:style>
  <w:style w:type="table" w:styleId="1263">
    <w:name w:val="Table Grid"/>
    <w:basedOn w:val="1061"/>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264">
    <w:name w:val="TOC Heading"/>
    <w:basedOn w:val="1051"/>
    <w:next w:val="1050"/>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265">
    <w:name w:val="toc 1"/>
    <w:basedOn w:val="1050"/>
    <w:next w:val="1050"/>
    <w:uiPriority w:val="39"/>
    <w:unhideWhenUsed/>
    <w:qFormat/>
    <w:pPr>
      <w:pBdr/>
      <w:spacing w:after="100"/>
      <w:ind/>
    </w:pPr>
  </w:style>
  <w:style w:type="paragraph" w:styleId="1266">
    <w:name w:val="toc 2"/>
    <w:basedOn w:val="1050"/>
    <w:next w:val="1050"/>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267">
    <w:name w:val="footnote text"/>
    <w:basedOn w:val="1050"/>
    <w:link w:val="1268"/>
    <w:uiPriority w:val="99"/>
    <w:semiHidden/>
    <w:unhideWhenUsed/>
    <w:qFormat/>
    <w:pPr>
      <w:pBdr/>
      <w:spacing w:before="240" w:line="240" w:lineRule="auto"/>
      <w:ind/>
      <w:jc w:val="both"/>
    </w:pPr>
    <w:rPr>
      <w:rFonts w:ascii="Times" w:hAnsi="Times" w:eastAsia="Times New Roman" w:cs="Times"/>
    </w:rPr>
  </w:style>
  <w:style w:type="character" w:styleId="1268" w:customStyle="1">
    <w:name w:val="Footnote Text Char1"/>
    <w:basedOn w:val="1060"/>
    <w:link w:val="1267"/>
    <w:uiPriority w:val="99"/>
    <w:semiHidden/>
    <w:pPr>
      <w:pBdr/>
      <w:spacing/>
      <w:ind/>
    </w:pPr>
    <w:rPr>
      <w:rFonts w:eastAsia="Times New Roman" w:cs="Times"/>
    </w:rPr>
  </w:style>
  <w:style w:type="character" w:styleId="1269">
    <w:name w:val="footnote reference"/>
    <w:semiHidden/>
    <w:unhideWhenUsed/>
    <w:pPr>
      <w:pBdr/>
      <w:spacing/>
      <w:ind/>
    </w:pPr>
    <w:rPr>
      <w:rFonts w:hint="default" w:ascii="Times New Roman" w:hAnsi="Times New Roman" w:cs="Times New Roman"/>
      <w:vertAlign w:val="superscript"/>
    </w:rPr>
  </w:style>
  <w:style w:type="paragraph" w:styleId="1270">
    <w:name w:val="List Paragraph"/>
    <w:basedOn w:val="1050"/>
    <w:link w:val="1287"/>
    <w:uiPriority w:val="34"/>
    <w:qFormat/>
    <w:pPr>
      <w:pBdr/>
      <w:spacing/>
      <w:ind w:left="720"/>
      <w:contextualSpacing w:val="true"/>
    </w:pPr>
  </w:style>
  <w:style w:type="character" w:styleId="1271">
    <w:name w:val="annotation reference"/>
    <w:basedOn w:val="1060"/>
    <w:uiPriority w:val="99"/>
    <w:unhideWhenUsed/>
    <w:pPr>
      <w:pBdr/>
      <w:spacing/>
      <w:ind/>
    </w:pPr>
    <w:rPr>
      <w:sz w:val="16"/>
      <w:szCs w:val="16"/>
    </w:rPr>
  </w:style>
  <w:style w:type="paragraph" w:styleId="1272">
    <w:name w:val="annotation text"/>
    <w:basedOn w:val="1050"/>
    <w:link w:val="1273"/>
    <w:uiPriority w:val="99"/>
    <w:unhideWhenUsed/>
    <w:pPr>
      <w:pBdr/>
      <w:spacing w:line="240" w:lineRule="auto"/>
      <w:ind/>
    </w:pPr>
  </w:style>
  <w:style w:type="character" w:styleId="1273" w:customStyle="1">
    <w:name w:val="Comment Text Char"/>
    <w:basedOn w:val="1060"/>
    <w:link w:val="1272"/>
    <w:uiPriority w:val="99"/>
    <w:pPr>
      <w:pBdr/>
      <w:spacing/>
      <w:ind/>
    </w:pPr>
    <w:rPr>
      <w:rFonts w:ascii="Arial" w:hAnsi="Arial"/>
    </w:rPr>
  </w:style>
  <w:style w:type="paragraph" w:styleId="1274">
    <w:name w:val="annotation subject"/>
    <w:basedOn w:val="1272"/>
    <w:next w:val="1272"/>
    <w:link w:val="1275"/>
    <w:uiPriority w:val="99"/>
    <w:semiHidden/>
    <w:unhideWhenUsed/>
    <w:pPr>
      <w:pBdr/>
      <w:spacing/>
      <w:ind/>
    </w:pPr>
    <w:rPr>
      <w:b/>
      <w:bCs/>
    </w:rPr>
  </w:style>
  <w:style w:type="character" w:styleId="1275" w:customStyle="1">
    <w:name w:val="Comment Subject Char"/>
    <w:basedOn w:val="1273"/>
    <w:link w:val="1274"/>
    <w:uiPriority w:val="99"/>
    <w:semiHidden/>
    <w:pPr>
      <w:pBdr/>
      <w:spacing/>
      <w:ind/>
    </w:pPr>
    <w:rPr>
      <w:rFonts w:ascii="Arial" w:hAnsi="Arial"/>
      <w:b/>
      <w:bCs/>
    </w:rPr>
  </w:style>
  <w:style w:type="paragraph" w:styleId="1276" w:customStyle="1">
    <w:name w:val="Normal A"/>
    <w:basedOn w:val="1050"/>
    <w:uiPriority w:val="99"/>
    <w:pPr>
      <w:pBdr/>
      <w:spacing w:before="240" w:line="240" w:lineRule="auto"/>
      <w:ind/>
      <w:jc w:val="both"/>
    </w:pPr>
    <w:rPr>
      <w:rFonts w:ascii="Times New Roman" w:hAnsi="Times New Roman" w:eastAsia="Times New Roman"/>
      <w:sz w:val="22"/>
      <w:szCs w:val="22"/>
    </w:rPr>
  </w:style>
  <w:style w:type="character" w:styleId="1277" w:customStyle="1">
    <w:name w:val="Footer Char1"/>
    <w:basedOn w:val="1060"/>
    <w:link w:val="1238"/>
    <w:uiPriority w:val="99"/>
    <w:pPr>
      <w:pBdr/>
      <w:spacing/>
      <w:ind/>
    </w:pPr>
    <w:rPr>
      <w:rFonts w:ascii="Arial" w:hAnsi="Arial"/>
    </w:rPr>
  </w:style>
  <w:style w:type="paragraph" w:styleId="1278">
    <w:name w:val="Body Text 2"/>
    <w:basedOn w:val="1050"/>
    <w:link w:val="1279"/>
    <w:uiPriority w:val="99"/>
    <w:semiHidden/>
    <w:unhideWhenUsed/>
    <w:pPr>
      <w:pBdr/>
      <w:spacing w:after="120" w:line="480" w:lineRule="auto"/>
      <w:ind/>
    </w:pPr>
  </w:style>
  <w:style w:type="character" w:styleId="1279" w:customStyle="1">
    <w:name w:val="Body Text 2 Char"/>
    <w:basedOn w:val="1060"/>
    <w:link w:val="1278"/>
    <w:uiPriority w:val="99"/>
    <w:semiHidden/>
    <w:pPr>
      <w:pBdr/>
      <w:spacing/>
      <w:ind/>
    </w:pPr>
    <w:rPr>
      <w:rFonts w:ascii="Arial" w:hAnsi="Arial"/>
    </w:rPr>
  </w:style>
  <w:style w:type="character" w:styleId="1280" w:customStyle="1">
    <w:name w:val="Heading 2 Char1"/>
    <w:basedOn w:val="1060"/>
    <w:link w:val="1052"/>
    <w:pPr>
      <w:pBdr/>
      <w:spacing/>
      <w:ind/>
    </w:pPr>
    <w:rPr>
      <w:rFonts w:ascii="Arial" w:hAnsi="Arial" w:cs="Arial"/>
      <w:b/>
      <w:bCs/>
      <w:sz w:val="18"/>
    </w:rPr>
  </w:style>
  <w:style w:type="character" w:styleId="1281">
    <w:name w:val="Book Title"/>
    <w:basedOn w:val="1060"/>
    <w:uiPriority w:val="33"/>
    <w:qFormat/>
    <w:pPr>
      <w:pBdr/>
      <w:spacing/>
      <w:ind/>
    </w:pPr>
    <w:rPr>
      <w:b/>
      <w:bCs/>
      <w:smallCaps/>
      <w:spacing w:val="5"/>
    </w:rPr>
  </w:style>
  <w:style w:type="character" w:styleId="1282" w:customStyle="1">
    <w:name w:val="Caractères de note de bas de page"/>
    <w:basedOn w:val="1060"/>
    <w:pPr>
      <w:pBdr/>
      <w:spacing/>
      <w:ind/>
    </w:pPr>
    <w:rPr>
      <w:rFonts w:hint="default" w:ascii="Times New Roman" w:hAnsi="Times New Roman" w:cs="Times New Roman"/>
      <w:vertAlign w:val="superscript"/>
    </w:rPr>
  </w:style>
  <w:style w:type="paragraph" w:styleId="1283">
    <w:name w:val="Revision"/>
    <w:hidden/>
    <w:uiPriority w:val="99"/>
    <w:semiHidden/>
    <w:pPr>
      <w:pBdr/>
      <w:spacing/>
      <w:ind/>
    </w:pPr>
    <w:rPr>
      <w:rFonts w:ascii="Arial" w:hAnsi="Arial"/>
    </w:rPr>
  </w:style>
  <w:style w:type="paragraph" w:styleId="1284" w:customStyle="1">
    <w:name w:val="_ H_2/3"/>
    <w:basedOn w:val="1256"/>
    <w:next w:val="1256"/>
    <w:uiPriority w:val="99"/>
    <w:pPr>
      <w:pBdr/>
      <w:spacing/>
      <w:ind/>
    </w:pPr>
    <w:rPr>
      <w:rFonts w:ascii="Gill Sans MT" w:hAnsi="Gill Sans MT" w:cs="Times New Roman"/>
      <w:color w:val="auto"/>
    </w:rPr>
  </w:style>
  <w:style w:type="paragraph" w:styleId="1285" w:customStyle="1">
    <w:name w:val="Heading 3 contract"/>
    <w:basedOn w:val="1050"/>
    <w:link w:val="1286"/>
    <w:qFormat/>
    <w:pPr>
      <w:keepNext w:val="true"/>
      <w:pBdr/>
      <w:spacing w:before="120" w:line="240" w:lineRule="auto"/>
      <w:ind/>
      <w:jc w:val="both"/>
    </w:pPr>
    <w:rPr>
      <w:rFonts w:eastAsia="Times New Roman" w:asciiTheme="minorHAnsi" w:hAnsiTheme="minorHAnsi"/>
      <w:b/>
      <w:sz w:val="24"/>
      <w:szCs w:val="24"/>
    </w:rPr>
  </w:style>
  <w:style w:type="character" w:styleId="1286" w:customStyle="1">
    <w:name w:val="Heading 3 contract Char"/>
    <w:link w:val="1285"/>
    <w:pPr>
      <w:pBdr/>
      <w:spacing/>
      <w:ind/>
    </w:pPr>
    <w:rPr>
      <w:rFonts w:eastAsia="Times New Roman" w:asciiTheme="minorHAnsi" w:hAnsiTheme="minorHAnsi"/>
      <w:b/>
      <w:sz w:val="24"/>
      <w:szCs w:val="24"/>
    </w:rPr>
  </w:style>
  <w:style w:type="character" w:styleId="1287" w:customStyle="1">
    <w:name w:val="List Paragraph Char"/>
    <w:link w:val="1270"/>
    <w:uiPriority w:val="34"/>
    <w:qFormat/>
    <w:pPr>
      <w:pBdr/>
      <w:spacing/>
      <w:ind/>
    </w:pPr>
    <w:rPr>
      <w:rFonts w:ascii="Arial" w:hAnsi="Arial"/>
    </w:rPr>
  </w:style>
  <w:style w:type="character" w:styleId="1288" w:customStyle="1">
    <w:name w:val="Header Char1"/>
    <w:basedOn w:val="1060"/>
    <w:link w:val="1237"/>
    <w:semiHidden/>
    <w:pPr>
      <w:pBdr/>
      <w:spacing/>
      <w:ind/>
    </w:pPr>
    <w:rPr>
      <w:rFonts w:ascii="Arial" w:hAnsi="Arial"/>
    </w:rPr>
  </w:style>
  <w:style w:type="character" w:styleId="1289">
    <w:name w:val="FollowedHyperlink"/>
    <w:basedOn w:val="1060"/>
    <w:uiPriority w:val="99"/>
    <w:semiHidden/>
    <w:unhideWhenUsed/>
    <w:pPr>
      <w:pBdr/>
      <w:spacing/>
      <w:ind/>
    </w:pPr>
    <w:rPr>
      <w:color w:val="800080" w:themeColor="followedHyperlink"/>
      <w:u w:val="single"/>
    </w:rPr>
  </w:style>
  <w:style w:type="paragraph" w:styleId="1290" w:customStyle="1">
    <w:name w:val="Body"/>
    <w:pPr>
      <w:pBdr>
        <w:top w:val="none" w:color="000000" w:sz="4" w:space="0"/>
        <w:left w:val="none" w:color="000000" w:sz="4" w:space="0"/>
        <w:bottom w:val="none" w:color="000000" w:sz="4" w:space="0"/>
        <w:right w:val="none" w:color="000000" w:sz="4" w:space="0"/>
        <w:between w:val="none" w:color="000000" w:sz="4" w:space="0"/>
      </w:pBdr>
      <w:spacing w:line="300" w:lineRule="atLeast"/>
      <w:ind/>
    </w:pPr>
    <w:rPr>
      <w:rFonts w:ascii="Arial" w:hAnsi="Arial" w:eastAsia="Arial" w:cs="Arial"/>
      <w:color w:val="000000"/>
      <w:lang w:val="es-CO" w:eastAsia="es-CO"/>
      <w14:textOutline w14:w="0" w14:cap="flat" w14:cmpd="sng" w14:algn="ctr">
        <w14:noFill/>
        <w14:prstDash w14:val="solid"/>
        <w14:bevel/>
      </w14:textOutline>
    </w:rPr>
  </w:style>
  <w:style w:type="numbering" w:styleId="1291" w:customStyle="1">
    <w:name w:val="Imported Style 5"/>
    <w:pPr>
      <w:numPr>
        <w:numId w:val="23"/>
      </w:numPr>
      <w:pBdr/>
      <w:spacing/>
      <w:ind/>
    </w:pPr>
  </w:style>
  <w:style w:type="numbering" w:styleId="1292" w:customStyle="1">
    <w:name w:val="Imported Style 3"/>
    <w:pPr>
      <w:numPr>
        <w:numId w:val="24"/>
      </w:numPr>
      <w:pBdr/>
      <w:spacing/>
      <w:ind/>
    </w:pPr>
  </w:style>
  <w:style w:type="character" w:styleId="1293" w:customStyle="1">
    <w:name w:val="Link"/>
    <w:pPr>
      <w:pBdr/>
      <w:spacing/>
      <w:ind/>
    </w:pPr>
    <w:rPr>
      <w:color w:val="0000ff"/>
      <w:u w:val="single"/>
    </w:rPr>
  </w:style>
  <w:style w:type="table" w:styleId="1294" w:customStyle="1">
    <w:name w:val="Table Normal1"/>
    <w:pPr>
      <w:pBdr>
        <w:top w:val="none" w:color="000000" w:sz="4" w:space="0"/>
        <w:left w:val="none" w:color="000000" w:sz="4" w:space="0"/>
        <w:bottom w:val="none" w:color="000000" w:sz="4" w:space="0"/>
        <w:right w:val="none" w:color="000000" w:sz="4" w:space="0"/>
        <w:between w:val="none" w:color="000000" w:sz="4" w:space="0"/>
      </w:pBdr>
      <w:spacing/>
      <w:ind/>
    </w:pPr>
    <w:rPr>
      <w:rFonts w:ascii="Times New Roman" w:hAnsi="Times New Roman" w:eastAsia="Arial Unicode MS"/>
      <w:lang w:val="es-CO" w:eastAsia="es-CO"/>
    </w:rPr>
    <w:tblPr>
      <w:tblInd w:w="0" w:type="dxa"/>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295" w:customStyle="1">
    <w:name w:val="Hyperlink.2"/>
    <w:basedOn w:val="1060"/>
    <w:pPr>
      <w:pBdr/>
      <w:spacing/>
      <w:ind/>
    </w:pPr>
    <w:rPr>
      <w:lang w:val="en-US"/>
    </w:rPr>
  </w:style>
  <w:style w:type="numbering" w:styleId="1296" w:customStyle="1">
    <w:name w:val="Imported Style 9"/>
    <w:pPr>
      <w:numPr>
        <w:numId w:val="25"/>
      </w:numPr>
      <w:pBdr/>
      <w:spacing/>
      <w:ind/>
    </w:pPr>
  </w:style>
  <w:style w:type="character" w:styleId="1297" w:customStyle="1">
    <w:name w:val="None"/>
    <w:pPr>
      <w:pBdr/>
      <w:spacing/>
      <w:ind/>
    </w:pPr>
  </w:style>
  <w:style w:type="character" w:styleId="1298" w:customStyle="1">
    <w:name w:val="Hyperlink.3"/>
    <w:basedOn w:val="1297"/>
    <w:pPr>
      <w:pBdr/>
      <w:spacing/>
      <w:ind/>
    </w:pPr>
    <w:rPr>
      <w:rFonts w:ascii="Calibri" w:hAnsi="Calibri" w:eastAsia="Calibri" w:cs="Calibri"/>
      <w:lang w:val="en-US"/>
    </w:rPr>
  </w:style>
  <w:style w:type="numbering" w:styleId="1299" w:customStyle="1">
    <w:name w:val="Imported Style 10"/>
    <w:pPr>
      <w:numPr>
        <w:numId w:val="27"/>
      </w:numPr>
      <w:pBdr/>
      <w:spacing/>
      <w:ind/>
    </w:pPr>
  </w:style>
  <w:style w:type="numbering" w:styleId="1300" w:customStyle="1">
    <w:name w:val="Imported Style 12"/>
    <w:pPr>
      <w:numPr>
        <w:numId w:val="28"/>
      </w:num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customXml" Target="../customXml/item1.xml" /><Relationship Id="rId18" Type="http://schemas.openxmlformats.org/officeDocument/2006/relationships/hyperlink" Target="http://www.marche-public.fr/ccp/ccp-plan-legislative.htm" TargetMode="External"/><Relationship Id="rId19" Type="http://schemas.openxmlformats.org/officeDocument/2006/relationships/hyperlink" Target="http://www.marche-public.fr/ccp/ccp-plan-reglementaire.htm" TargetMode="External"/><Relationship Id="rId20" Type="http://schemas.openxmlformats.org/officeDocument/2006/relationships/hyperlink" Target="https://www.expertisefrance.fr/documents/20182/426622/Expertise+France+%E2%80%93+Code+of+conduct/82cf6060-4768-4b25-8817-ccba1d86e568" TargetMode="External"/><Relationship Id="rId21" Type="http://schemas.openxmlformats.org/officeDocument/2006/relationships/hyperlink" Target="https://commission.europa.eu/funding-tenders/procedures-guidelines-tenders/information-contractors-and-beneficiaries/exchange-rate-infoeuro_es" TargetMode="External"/><Relationship Id="rId22" Type="http://schemas.openxmlformats.org/officeDocument/2006/relationships/hyperlink" Target="mailto:pauline.stephan@expertisefrance.fr" TargetMode="External"/><Relationship Id="rId23" Type="http://schemas.openxmlformats.org/officeDocument/2006/relationships/hyperlink" Target="mailto:Mariana.mojica@expertisefrance.fr" TargetMode="External"/><Relationship Id="rId24"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www.expertisefrance.fr" TargetMode="External"/><Relationship Id="rId27" Type="http://schemas.openxmlformats.org/officeDocument/2006/relationships/hyperlink" Target="mailto:informatique.libertes@expertisefrance.fr" TargetMode="External"/><Relationship Id="rId28" Type="http://schemas.openxmlformats.org/officeDocument/2006/relationships/hyperlink" Target="https://www.sanctionsmap.eu" TargetMode="External"/><Relationship Id="rId29" Type="http://schemas.openxmlformats.org/officeDocument/2006/relationships/hyperlink" Target="https://www.un.org/securitycouncil/content/un-sc-consolidated-list" TargetMode="External"/><Relationship Id="rId30" Type="http://schemas.openxmlformats.org/officeDocument/2006/relationships/hyperlink" Target="https://www.sanctionsmap.eu" TargetMode="External"/><Relationship Id="rId31" Type="http://schemas.openxmlformats.org/officeDocument/2006/relationships/hyperlink" Target="https://gels-avoirs.dgtresor.gouv.fr/List" TargetMode="External"/><Relationship Id="rId32" Type="http://schemas.openxmlformats.org/officeDocument/2006/relationships/hyperlink" Target="https://home.treasury.gov/policy-issues/financial-sanctions/sanctions-programs-and-country-information" TargetMode="External"/><Relationship Id="rId33" Type="http://schemas.openxmlformats.org/officeDocument/2006/relationships/hyperlink" Target="https://www.worldbank.org/en/projects-operations/procurement/debarred-firms" TargetMode="External"/><Relationship Id="rId34" Type="http://schemas.openxmlformats.org/officeDocument/2006/relationships/comments" Target="comments.xml" /><Relationship Id="rId35" Type="http://schemas.microsoft.com/office/2011/relationships/commentsExtended" Target="commentsExtended.xml" /><Relationship Id="rId36" Type="http://schemas.microsoft.com/office/2018/08/relationships/commentsExtensible" Target="commentsExtensible.xml" /><Relationship Id="rId37" Type="http://schemas.microsoft.com/office/2016/09/relationships/commentsIds" Target="commentsIds.xml" /><Relationship Id="rId38" Type="http://schemas.microsoft.com/office/2011/relationships/people" Target="people.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_rels/header5.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78616-D171-4160-A682-D3BD40F8A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Application>ONLYOFFICE/8.3.3.18</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Camilo BRINEZ</cp:lastModifiedBy>
  <cp:revision>103</cp:revision>
  <dcterms:created xsi:type="dcterms:W3CDTF">2024-10-14T13:44:00Z</dcterms:created>
  <dcterms:modified xsi:type="dcterms:W3CDTF">2025-12-19T21:38:58Z</dcterms:modified>
</cp:coreProperties>
</file>